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Design &amp; Industry Connections</w:t>
      </w:r>
    </w:p>
    <w:p>
      <w:r>
        <w:rPr>
          <w:b w:val="0"/>
        </w:rPr>
        <w:t>VCE Visual Communication Design · Unit 2 AOS 2 · VCAA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DF3"/>
          </w:tcPr>
          <w:p>
            <w:r>
              <w:rPr>
                <w:b w:val="0"/>
              </w:rPr>
              <w:t xml:space="preserve">Real design projects rarely sit inside a single field. Designers </w:t>
            </w:r>
            <w:r>
              <w:rPr>
                <w:b/>
              </w:rPr>
              <w:t>collaborate</w:t>
            </w:r>
            <w:r>
              <w:rPr>
                <w:b w:val="0"/>
              </w:rPr>
              <w:t xml:space="preserve"> with clients, manufacturers, other designers and tradespeople, and work within broader industry factors such as sustainability, technology, ethics and intellectual property (IP) law.</w:t>
            </w:r>
          </w:p>
        </w:tc>
      </w:tr>
    </w:tbl>
    <w:p/>
    <w:p>
      <w:pPr>
        <w:pStyle w:val="Heading1"/>
      </w:pPr>
      <w:r>
        <w:rPr>
          <w:color w:val="1F3A5F"/>
        </w:rPr>
        <w:t>Who Designers Collaborate With</w:t>
      </w:r>
    </w:p>
    <w:p>
      <w:pPr>
        <w:pStyle w:val="Heading2"/>
      </w:pPr>
      <w:r>
        <w:rPr>
          <w:color w:val="1F3A5F"/>
        </w:rPr>
        <w:t>Clients</w:t>
      </w:r>
    </w:p>
    <w:p>
      <w:r>
        <w:rPr>
          <w:b w:val="0"/>
        </w:rPr>
        <w:t>Provide the design brief, approve directions, and fund the project. The designer must balance the client's goals with the audience's needs.</w:t>
      </w:r>
    </w:p>
    <w:p>
      <w:pPr>
        <w:pStyle w:val="Heading2"/>
      </w:pPr>
      <w:r>
        <w:rPr>
          <w:color w:val="1F3A5F"/>
        </w:rPr>
        <w:t>Manufacturers &amp; Builders</w:t>
      </w:r>
    </w:p>
    <w:p>
      <w:r>
        <w:rPr>
          <w:b w:val="0"/>
        </w:rPr>
        <w:t>Turn a design into physical reality — printers, factories, construction trades. Their capabilities and constraints shape what's possible.</w:t>
      </w:r>
    </w:p>
    <w:p>
      <w:pPr>
        <w:pStyle w:val="Heading2"/>
      </w:pPr>
      <w:r>
        <w:rPr>
          <w:color w:val="1F3A5F"/>
        </w:rPr>
        <w:t>Other Designers</w:t>
      </w:r>
    </w:p>
    <w:p>
      <w:r>
        <w:rPr>
          <w:b w:val="0"/>
        </w:rPr>
        <w:t>A single project often needs several specialists, e.g. a graphic designer working alongside a UX/interaction designer or architect.</w:t>
      </w:r>
    </w:p>
    <w:p>
      <w:pPr>
        <w:pStyle w:val="Heading2"/>
      </w:pPr>
      <w:r>
        <w:rPr>
          <w:color w:val="1F3A5F"/>
        </w:rPr>
        <w:t>Marketing &amp; Developers</w:t>
      </w:r>
    </w:p>
    <w:p>
      <w:r>
        <w:rPr>
          <w:b w:val="0"/>
        </w:rPr>
        <w:t>Deliver the finished design to its final audience — through campaigns, code, packaging, or distribution.</w:t>
      </w:r>
    </w:p>
    <w:p>
      <w:pPr>
        <w:pStyle w:val="Heading1"/>
      </w:pPr>
      <w:r>
        <w:rPr>
          <w:color w:val="1F3A5F"/>
        </w:rPr>
        <w:t>Factors Shaping Industry Practice</w:t>
      </w:r>
    </w:p>
    <w:p>
      <w:r>
        <w:rPr>
          <w:b w:val="0"/>
        </w:rPr>
        <w:t xml:space="preserve"> Sustainability</w:t>
      </w:r>
    </w:p>
    <w:p>
      <w:r>
        <w:rPr>
          <w:b w:val="0"/>
        </w:rPr>
        <w:t>Materials, energy use, waste and end-of-life disposal are now standard client requirements.</w:t>
      </w:r>
    </w:p>
    <w:p>
      <w:r>
        <w:rPr>
          <w:b w:val="0"/>
        </w:rPr>
        <w:t xml:space="preserve"> Technology</w:t>
      </w:r>
    </w:p>
    <w:p>
      <w:r>
        <w:rPr>
          <w:b w:val="0"/>
        </w:rPr>
        <w:t>New software, materials and manufacturing methods change what's possible and expected.</w:t>
      </w:r>
    </w:p>
    <w:p>
      <w:r>
        <w:rPr>
          <w:b w:val="0"/>
        </w:rPr>
        <w:t xml:space="preserve"> Ethics</w:t>
      </w:r>
    </w:p>
    <w:p>
      <w:r>
        <w:rPr>
          <w:b w:val="0"/>
        </w:rPr>
        <w:t>Fair labour, honest advertising, accessibility and inclusive design are professional expectations.</w:t>
      </w:r>
    </w:p>
    <w:p>
      <w:r>
        <w:rPr>
          <w:b w:val="0"/>
        </w:rPr>
        <w:t>© Intellectual Property</w:t>
      </w:r>
    </w:p>
    <w:p>
      <w:r>
        <w:rPr>
          <w:b w:val="0"/>
        </w:rPr>
        <w:t>Copyright, trademarks and licensing protect original design work from unauthorised copying.</w:t>
      </w:r>
    </w:p>
    <w:p>
      <w:pPr>
        <w:pStyle w:val="Heading1"/>
      </w:pPr>
      <w:r>
        <w:rPr>
          <w:color w:val="1F3A5F"/>
        </w:rPr>
        <w:t>Intellectual Property (IP) — Key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Protects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Copyright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Original creative works (automatic, no registration needed)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An illustration, photograph, layout or piece of writing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Trademark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Brand names, logos and slogans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A company logo or tagline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Design registration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The visual appearance of a manufactured product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The shape of a chair or bottle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Patent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A new invention or functional process</w:t>
            </w:r>
          </w:p>
        </w:tc>
        <w:tc>
          <w:tcPr>
            <w:tcW w:type="dxa" w:w="3324"/>
          </w:tcPr>
          <w:p>
            <w:r>
              <w:rPr>
                <w:b w:val="0"/>
              </w:rPr>
              <w:t>A new mechanism or manufacturing method</w:t>
            </w:r>
          </w:p>
        </w:tc>
      </w:tr>
    </w:tbl>
    <w:p/>
    <w:p>
      <w:pPr>
        <w:pStyle w:val="Heading1"/>
      </w:pPr>
      <w:r>
        <w:rPr>
          <w:color w:val="1F3A5F"/>
        </w:rPr>
        <w:t>Exam Sentence Starters</w:t>
      </w:r>
    </w:p>
    <w:p>
      <w:r>
        <w:rPr>
          <w:b w:val="0"/>
        </w:rPr>
        <w:t xml:space="preserve">"This project connects </w:t>
      </w:r>
      <w:r>
        <w:rPr>
          <w:b w:val="0"/>
          <w:i/>
        </w:rPr>
        <w:t>[field A]</w:t>
      </w:r>
      <w:r>
        <w:rPr>
          <w:b w:val="0"/>
        </w:rPr>
        <w:t xml:space="preserve"> and </w:t>
      </w:r>
      <w:r>
        <w:rPr>
          <w:b w:val="0"/>
          <w:i/>
        </w:rPr>
        <w:t>[field B]</w:t>
      </w:r>
      <w:r>
        <w:rPr>
          <w:b w:val="0"/>
        </w:rPr>
        <w:t xml:space="preserve"> because..."</w:t>
      </w:r>
    </w:p>
    <w:p>
      <w:r>
        <w:rPr>
          <w:b w:val="0"/>
        </w:rPr>
        <w:t xml:space="preserve">"The designer collaborated with </w:t>
      </w:r>
      <w:r>
        <w:rPr>
          <w:b w:val="0"/>
          <w:i/>
        </w:rPr>
        <w:t>[role]</w:t>
      </w:r>
      <w:r>
        <w:rPr>
          <w:b w:val="0"/>
        </w:rPr>
        <w:t xml:space="preserve"> to..."</w:t>
      </w:r>
    </w:p>
    <w:p>
      <w:r>
        <w:rPr>
          <w:b w:val="0"/>
        </w:rPr>
        <w:t xml:space="preserve">"This decision reflects growing industry concern for </w:t>
      </w:r>
      <w:r>
        <w:rPr>
          <w:b w:val="0"/>
          <w:i/>
        </w:rPr>
        <w:t>[factor]</w:t>
      </w:r>
      <w:r>
        <w:rPr>
          <w:b w:val="0"/>
        </w:rPr>
        <w:t>..."</w:t>
      </w:r>
    </w:p>
    <w:p>
      <w:r>
        <w:rPr>
          <w:b w:val="0"/>
        </w:rPr>
        <w:t xml:space="preserve">"Without protection of </w:t>
      </w:r>
      <w:r>
        <w:rPr>
          <w:b w:val="0"/>
          <w:i/>
        </w:rPr>
        <w:t>[IP type]</w:t>
      </w:r>
      <w:r>
        <w:rPr>
          <w:b w:val="0"/>
        </w:rPr>
        <w:t>, this design could be..."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VCE VCD — Design &amp; Industry Connections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