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Gestalt Principles</w:t>
      </w:r>
    </w:p>
    <w:p>
      <w:r>
        <w:rPr>
          <w:b w:val="0"/>
        </w:rPr>
        <w:t>VCE Visual Communication Design · Unit 1 AOS 1 · VCAA 2024</w:t>
      </w:r>
    </w:p>
    <w:tbl>
      <w:tblPr>
        <w:tblStyle w:val="TableGrid"/>
        <w:tblW w:type="auto" w:w="0"/>
        <w:tblLook w:firstColumn="1" w:firstRow="1" w:lastColumn="0" w:lastRow="0" w:noHBand="0" w:noVBand="1" w:val="04A0"/>
      </w:tblPr>
      <w:tblGrid>
        <w:gridCol w:w="9972"/>
      </w:tblGrid>
      <w:tr>
        <w:tc>
          <w:tcPr>
            <w:tcW w:type="dxa" w:w="9972"/>
            <w:shd w:val="clear" w:color="auto" w:fill="E8EDF3"/>
          </w:tcPr>
          <w:p>
            <w:r>
              <w:rPr>
                <w:b/>
              </w:rPr>
              <w:t>What is Gestalt?</w:t>
            </w:r>
            <w:r>
              <w:rPr>
                <w:b w:val="0"/>
              </w:rPr>
              <w:t xml:space="preserve"> Gestalt psychology explains how the brain organises visual elements into patterns and groups. The word "gestalt" is German for "unified whole." In VCD, understanding gestalt principles explains why viewers read designs the way they do — and helps designers use this to guide attention, create meaning, and organise information.</w:t>
            </w:r>
          </w:p>
        </w:tc>
      </w:tr>
    </w:tbl>
    <w:p/>
    <w:p>
      <w:pPr>
        <w:pStyle w:val="Heading3"/>
      </w:pPr>
      <w:r>
        <w:rPr>
          <w:color w:val="1F3A5F"/>
        </w:rPr>
        <w:t>Spelling &amp; Terminology Alert</w:t>
      </w:r>
    </w:p>
    <w:p>
      <w:r>
        <w:rPr>
          <w:b w:val="0"/>
        </w:rPr>
        <w:t xml:space="preserve"> </w:t>
      </w:r>
      <w:r>
        <w:rPr>
          <w:b w:val="0"/>
        </w:rPr>
        <w:t>Continuity</w:t>
      </w:r>
      <w:r>
        <w:rPr>
          <w:b w:val="0"/>
        </w:rPr>
        <w:t xml:space="preserve"> → </w:t>
      </w:r>
      <w:r>
        <w:rPr>
          <w:b w:val="0"/>
        </w:rPr>
        <w:t xml:space="preserve">Continuation </w:t>
      </w:r>
      <w:r>
        <w:rPr>
          <w:b w:val="0"/>
        </w:rPr>
        <w:t xml:space="preserve"> </w:t>
      </w:r>
      <w:r>
        <w:rPr>
          <w:b w:val="0"/>
        </w:rPr>
        <w:t>Common Region</w:t>
      </w:r>
      <w:r>
        <w:rPr>
          <w:b w:val="0"/>
        </w:rPr>
        <w:t xml:space="preserve"> → </w:t>
      </w:r>
      <w:r>
        <w:rPr>
          <w:b w:val="0"/>
        </w:rPr>
        <w:t>Not in VCAA 2024</w:t>
      </w:r>
      <w:r>
        <w:rPr>
          <w:b w:val="0"/>
        </w:rPr>
        <w:t xml:space="preserve"> </w:t>
      </w:r>
      <w:r>
        <w:rPr>
          <w:b w:val="0"/>
        </w:rPr>
        <w:t>Connectedness</w:t>
      </w:r>
      <w:r>
        <w:rPr>
          <w:b w:val="0"/>
        </w:rPr>
        <w:t xml:space="preserve"> → </w:t>
      </w:r>
      <w:r>
        <w:rPr>
          <w:b w:val="0"/>
        </w:rPr>
        <w:t>Not in VCAA 2024</w:t>
      </w:r>
      <w:r>
        <w:rPr>
          <w:b w:val="0"/>
        </w:rPr>
        <w:t xml:space="preserve"> </w:t>
      </w:r>
    </w:p>
    <w:p>
      <w:pPr>
        <w:pStyle w:val="Heading2"/>
      </w:pPr>
      <w:r>
        <w:rPr>
          <w:color w:val="1F3A5F"/>
        </w:rPr>
        <w:t>Similarity</w:t>
      </w:r>
    </w:p>
    <w:p>
      <w:r>
        <w:rPr>
          <w:b w:val="0"/>
        </w:rPr>
        <w:t xml:space="preserve">Elements that share </w:t>
      </w:r>
      <w:r>
        <w:rPr>
          <w:b/>
        </w:rPr>
        <w:t>visual characteristics</w:t>
      </w:r>
      <w:r>
        <w:rPr>
          <w:b w:val="0"/>
        </w:rPr>
        <w:t xml:space="preserve"> (colour, shape, size, texture, orientation) are perceived as belonging together as a group.</w:t>
      </w:r>
    </w:p>
    <w:p>
      <w:r>
        <w:rPr>
          <w:b w:val="0"/>
        </w:rPr>
        <w:t>e.g. Navigation items in the same font weight and colour are read as a group even if spaced apart.</w:t>
      </w:r>
    </w:p>
    <w:p>
      <w:r>
        <w:rPr>
          <w:b w:val="0"/>
        </w:rPr>
        <w:t>Exam sentence starter</w:t>
      </w:r>
    </w:p>
    <w:p>
      <w:r>
        <w:rPr>
          <w:b w:val="0"/>
        </w:rPr>
        <w:t xml:space="preserve">"The gestalt principle of </w:t>
      </w:r>
      <w:r>
        <w:rPr>
          <w:b/>
        </w:rPr>
        <w:t>similarity</w:t>
      </w:r>
      <w:r>
        <w:rPr>
          <w:b w:val="0"/>
        </w:rPr>
        <w:t xml:space="preserve"> is used through the repetition of [element], which groups [objects] together and creates visual cohesion."</w:t>
      </w:r>
    </w:p>
    <w:p>
      <w:pPr>
        <w:pStyle w:val="Heading2"/>
      </w:pPr>
      <w:r>
        <w:rPr>
          <w:color w:val="1F3A5F"/>
        </w:rPr>
        <w:t>⦿ Proximity</w:t>
      </w:r>
    </w:p>
    <w:p>
      <w:r>
        <w:rPr>
          <w:b w:val="0"/>
        </w:rPr>
        <w:t xml:space="preserve">Elements that are </w:t>
      </w:r>
      <w:r>
        <w:rPr>
          <w:b/>
        </w:rPr>
        <w:t>close together</w:t>
      </w:r>
      <w:r>
        <w:rPr>
          <w:b w:val="0"/>
        </w:rPr>
        <w:t xml:space="preserve"> are perceived as a group, regardless of visual differences. Spatial closeness implies relationship.</w:t>
      </w:r>
    </w:p>
    <w:p>
      <w:r>
        <w:rPr>
          <w:b w:val="0"/>
        </w:rPr>
        <w:t>e.g. A caption placed directly below an image is understood to describe it, even without a connecting line.</w:t>
      </w:r>
    </w:p>
    <w:p>
      <w:r>
        <w:rPr>
          <w:b w:val="0"/>
        </w:rPr>
        <w:t>Exam sentence starter</w:t>
      </w:r>
    </w:p>
    <w:p>
      <w:r>
        <w:rPr>
          <w:b w:val="0"/>
        </w:rPr>
        <w:t xml:space="preserve">"The gestalt principle of </w:t>
      </w:r>
      <w:r>
        <w:rPr>
          <w:b/>
        </w:rPr>
        <w:t>proximity</w:t>
      </w:r>
      <w:r>
        <w:rPr>
          <w:b w:val="0"/>
        </w:rPr>
        <w:t xml:space="preserve"> is evident in the grouping of [elements], which communicates that they are related and guides the viewer's understanding."</w:t>
      </w:r>
    </w:p>
    <w:p>
      <w:pPr>
        <w:pStyle w:val="Heading2"/>
      </w:pPr>
      <w:r>
        <w:rPr>
          <w:color w:val="1F3A5F"/>
        </w:rPr>
        <w:t>○ Closure</w:t>
      </w:r>
    </w:p>
    <w:p>
      <w:r>
        <w:rPr>
          <w:b w:val="0"/>
        </w:rPr>
        <w:t xml:space="preserve">The mind fills in </w:t>
      </w:r>
      <w:r>
        <w:rPr>
          <w:b/>
        </w:rPr>
        <w:t>missing information</w:t>
      </w:r>
      <w:r>
        <w:rPr>
          <w:b w:val="0"/>
        </w:rPr>
        <w:t xml:space="preserve"> to perceive a complete, familiar shape or form, even when not all edges are visible.</w:t>
      </w:r>
    </w:p>
    <w:p>
      <w:r>
        <w:rPr>
          <w:b w:val="0"/>
        </w:rPr>
        <w:t>e.g. The WWF panda logo uses black shapes — the brain completes the panda outline from the gaps.</w:t>
      </w:r>
    </w:p>
    <w:p>
      <w:r>
        <w:rPr>
          <w:b w:val="0"/>
        </w:rPr>
        <w:t>Exam sentence starter</w:t>
      </w:r>
    </w:p>
    <w:p>
      <w:r>
        <w:rPr>
          <w:b w:val="0"/>
        </w:rPr>
        <w:t xml:space="preserve">"The gestalt principle of </w:t>
      </w:r>
      <w:r>
        <w:rPr>
          <w:b/>
        </w:rPr>
        <w:t>closure</w:t>
      </w:r>
      <w:r>
        <w:rPr>
          <w:b w:val="0"/>
        </w:rPr>
        <w:t xml:space="preserve"> is used as the viewer's eye completes the [shape/form], creating a sense of [unity/recognition/intrigue]."</w:t>
      </w:r>
    </w:p>
    <w:p>
      <w:pPr>
        <w:pStyle w:val="Heading2"/>
      </w:pPr>
      <w:r>
        <w:rPr>
          <w:color w:val="1F3A5F"/>
        </w:rPr>
        <w:t>◐ Figure-Ground</w:t>
      </w:r>
    </w:p>
    <w:p>
      <w:r>
        <w:rPr>
          <w:b w:val="0"/>
        </w:rPr>
        <w:t xml:space="preserve">The eye separates a design into a </w:t>
      </w:r>
      <w:r>
        <w:rPr>
          <w:b/>
        </w:rPr>
        <w:t>figure</w:t>
      </w:r>
      <w:r>
        <w:rPr>
          <w:b w:val="0"/>
        </w:rPr>
        <w:t xml:space="preserve"> (foreground subject) and </w:t>
      </w:r>
      <w:r>
        <w:rPr>
          <w:b/>
        </w:rPr>
        <w:t>ground</w:t>
      </w:r>
      <w:r>
        <w:rPr>
          <w:b w:val="0"/>
        </w:rPr>
        <w:t xml:space="preserve"> (background). Can be stable (clear) or ambiguous (reversible).</w:t>
      </w:r>
    </w:p>
    <w:p>
      <w:r>
        <w:rPr>
          <w:b w:val="0"/>
        </w:rPr>
        <w:t>e.g. The FedEx logo: negative space between E and x creates an arrow — ground becomes a meaningful figure.</w:t>
      </w:r>
    </w:p>
    <w:p>
      <w:r>
        <w:rPr>
          <w:b w:val="0"/>
        </w:rPr>
        <w:t>Exam sentence starter</w:t>
      </w:r>
    </w:p>
    <w:p>
      <w:r>
        <w:rPr>
          <w:b w:val="0"/>
        </w:rPr>
        <w:t xml:space="preserve">"The gestalt principle of </w:t>
      </w:r>
      <w:r>
        <w:rPr>
          <w:b/>
        </w:rPr>
        <w:t>figure-ground</w:t>
      </w:r>
      <w:r>
        <w:rPr>
          <w:b w:val="0"/>
        </w:rPr>
        <w:t xml:space="preserve"> is used through [contrast/negative space], which separates [subject] from [background], directing attention to [focal point]."</w:t>
      </w:r>
    </w:p>
    <w:p>
      <w:pPr>
        <w:pStyle w:val="Heading2"/>
      </w:pPr>
      <w:r>
        <w:rPr>
          <w:color w:val="1F3A5F"/>
        </w:rPr>
        <w:t>↗ Continuation</w:t>
      </w:r>
    </w:p>
    <w:p>
      <w:r>
        <w:rPr>
          <w:b w:val="0"/>
        </w:rPr>
        <w:t xml:space="preserve">The eye follows the </w:t>
      </w:r>
      <w:r>
        <w:rPr>
          <w:b/>
        </w:rPr>
        <w:t>smoothest path or direction</w:t>
      </w:r>
      <w:r>
        <w:rPr>
          <w:b w:val="0"/>
        </w:rPr>
        <w:t xml:space="preserve"> through elements, continuing in the established trajectory even when a line is interrupted or changes form.</w:t>
      </w:r>
    </w:p>
    <w:p>
      <w:r>
        <w:rPr>
          <w:b w:val="0"/>
        </w:rPr>
        <w:t>e.g. An S-curve of images leads the viewer's eye across the page in a fluid, continuous movement.</w:t>
      </w:r>
    </w:p>
    <w:p>
      <w:r>
        <w:rPr>
          <w:b w:val="0"/>
        </w:rPr>
        <w:t>Exam sentence starter</w:t>
      </w:r>
    </w:p>
    <w:p>
      <w:r>
        <w:rPr>
          <w:b w:val="0"/>
        </w:rPr>
        <w:t xml:space="preserve">"The gestalt principle of </w:t>
      </w:r>
      <w:r>
        <w:rPr>
          <w:b/>
        </w:rPr>
        <w:t>continuation</w:t>
      </w:r>
      <w:r>
        <w:rPr>
          <w:b w:val="0"/>
        </w:rPr>
        <w:t xml:space="preserve"> is evident through the [line/curve/edge] which leads the viewer's eye from [point A] to [point B]."</w:t>
      </w:r>
    </w:p>
    <w:p>
      <w:pPr>
        <w:pStyle w:val="Heading2"/>
      </w:pPr>
      <w:r>
        <w:rPr>
          <w:color w:val="1F3A5F"/>
        </w:rPr>
        <w:t>⬛ Area</w:t>
      </w:r>
    </w:p>
    <w:p>
      <w:r>
        <w:rPr>
          <w:b w:val="0"/>
        </w:rPr>
        <w:t xml:space="preserve">When shapes overlap, the </w:t>
      </w:r>
      <w:r>
        <w:rPr>
          <w:b/>
        </w:rPr>
        <w:t>smaller shape</w:t>
      </w:r>
      <w:r>
        <w:rPr>
          <w:b w:val="0"/>
        </w:rPr>
        <w:t xml:space="preserve"> is perceived as the figure and the larger shape as the ground. Also related to Prägnanz — the brain prefers the simplest interpretation.</w:t>
      </w:r>
    </w:p>
    <w:p>
      <w:r>
        <w:rPr>
          <w:b w:val="0"/>
        </w:rPr>
        <w:t>e.g. When a circle overlaps a square, we see the circle as sitting "on top of" the square, not as a square with a circular hole.</w:t>
      </w:r>
    </w:p>
    <w:p>
      <w:r>
        <w:rPr>
          <w:b w:val="0"/>
        </w:rPr>
        <w:t>Exam sentence starter</w:t>
      </w:r>
    </w:p>
    <w:p>
      <w:r>
        <w:rPr>
          <w:b w:val="0"/>
        </w:rPr>
        <w:t xml:space="preserve">"The gestalt principle of </w:t>
      </w:r>
      <w:r>
        <w:rPr>
          <w:b/>
        </w:rPr>
        <w:t>area</w:t>
      </w:r>
      <w:r>
        <w:rPr>
          <w:b w:val="0"/>
        </w:rPr>
        <w:t xml:space="preserve"> is used as the smaller [shape] is perceived as the figure against the larger [shape] as ground, creating visual depth and hierarchy."</w:t>
      </w:r>
    </w:p>
    <w:p>
      <w:pPr>
        <w:pStyle w:val="Heading1"/>
      </w:pPr>
      <w:r>
        <w:rPr>
          <w:color w:val="1F3A5F"/>
        </w:rPr>
        <w:t>Applying Gestalt: Real-World Examples</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Principle</w:t>
            </w:r>
          </w:p>
        </w:tc>
        <w:tc>
          <w:tcPr>
            <w:tcW w:type="dxa" w:w="3324"/>
            <w:shd w:val="clear" w:color="auto" w:fill="1F3A5F"/>
          </w:tcPr>
          <w:p>
            <w:r>
              <w:rPr>
                <w:b/>
                <w:color w:val="FFFFFF"/>
              </w:rPr>
              <w:t>Logo/Brand Example</w:t>
            </w:r>
          </w:p>
        </w:tc>
        <w:tc>
          <w:tcPr>
            <w:tcW w:type="dxa" w:w="3324"/>
            <w:shd w:val="clear" w:color="auto" w:fill="1F3A5F"/>
          </w:tcPr>
          <w:p>
            <w:r>
              <w:rPr>
                <w:b/>
                <w:color w:val="FFFFFF"/>
              </w:rPr>
              <w:t>How it's used</w:t>
            </w:r>
          </w:p>
        </w:tc>
      </w:tr>
      <w:tr>
        <w:tc>
          <w:tcPr>
            <w:tcW w:type="dxa" w:w="3324"/>
          </w:tcPr>
          <w:p>
            <w:r>
              <w:rPr>
                <w:b/>
              </w:rPr>
              <w:t>Closure</w:t>
            </w:r>
          </w:p>
        </w:tc>
        <w:tc>
          <w:tcPr>
            <w:tcW w:type="dxa" w:w="3324"/>
          </w:tcPr>
          <w:p>
            <w:r>
              <w:rPr>
                <w:b w:val="0"/>
              </w:rPr>
              <w:t>WWF Panda logo</w:t>
            </w:r>
          </w:p>
        </w:tc>
        <w:tc>
          <w:tcPr>
            <w:tcW w:type="dxa" w:w="3324"/>
          </w:tcPr>
          <w:p>
            <w:r>
              <w:rPr>
                <w:b w:val="0"/>
              </w:rPr>
              <w:t>Black blobs on white — brain completes the panda form</w:t>
            </w:r>
          </w:p>
        </w:tc>
      </w:tr>
      <w:tr>
        <w:tc>
          <w:tcPr>
            <w:tcW w:type="dxa" w:w="3324"/>
          </w:tcPr>
          <w:p>
            <w:r>
              <w:rPr>
                <w:b/>
              </w:rPr>
              <w:t>Figure-Ground</w:t>
            </w:r>
          </w:p>
        </w:tc>
        <w:tc>
          <w:tcPr>
            <w:tcW w:type="dxa" w:w="3324"/>
          </w:tcPr>
          <w:p>
            <w:r>
              <w:rPr>
                <w:b w:val="0"/>
              </w:rPr>
              <w:t>FedEx logo</w:t>
            </w:r>
          </w:p>
        </w:tc>
        <w:tc>
          <w:tcPr>
            <w:tcW w:type="dxa" w:w="3324"/>
          </w:tcPr>
          <w:p>
            <w:r>
              <w:rPr>
                <w:b w:val="0"/>
              </w:rPr>
              <w:t>Negative space between E and x creates an arrow</w:t>
            </w:r>
          </w:p>
        </w:tc>
      </w:tr>
      <w:tr>
        <w:tc>
          <w:tcPr>
            <w:tcW w:type="dxa" w:w="3324"/>
          </w:tcPr>
          <w:p>
            <w:r>
              <w:rPr>
                <w:b/>
              </w:rPr>
              <w:t>Similarity</w:t>
            </w:r>
          </w:p>
        </w:tc>
        <w:tc>
          <w:tcPr>
            <w:tcW w:type="dxa" w:w="3324"/>
          </w:tcPr>
          <w:p>
            <w:r>
              <w:rPr>
                <w:b w:val="0"/>
              </w:rPr>
              <w:t>Website navigation</w:t>
            </w:r>
          </w:p>
        </w:tc>
        <w:tc>
          <w:tcPr>
            <w:tcW w:type="dxa" w:w="3324"/>
          </w:tcPr>
          <w:p>
            <w:r>
              <w:rPr>
                <w:b w:val="0"/>
              </w:rPr>
              <w:t>Identical font/colour/size links grouped perceptually</w:t>
            </w:r>
          </w:p>
        </w:tc>
      </w:tr>
      <w:tr>
        <w:tc>
          <w:tcPr>
            <w:tcW w:type="dxa" w:w="3324"/>
          </w:tcPr>
          <w:p>
            <w:r>
              <w:rPr>
                <w:b/>
              </w:rPr>
              <w:t>Proximity</w:t>
            </w:r>
          </w:p>
        </w:tc>
        <w:tc>
          <w:tcPr>
            <w:tcW w:type="dxa" w:w="3324"/>
          </w:tcPr>
          <w:p>
            <w:r>
              <w:rPr>
                <w:b w:val="0"/>
              </w:rPr>
              <w:t>Contact card layout</w:t>
            </w:r>
          </w:p>
        </w:tc>
        <w:tc>
          <w:tcPr>
            <w:tcW w:type="dxa" w:w="3324"/>
          </w:tcPr>
          <w:p>
            <w:r>
              <w:rPr>
                <w:b w:val="0"/>
              </w:rPr>
              <w:t>Name/phone/email clustered — read as one unit</w:t>
            </w:r>
          </w:p>
        </w:tc>
      </w:tr>
      <w:tr>
        <w:tc>
          <w:tcPr>
            <w:tcW w:type="dxa" w:w="3324"/>
          </w:tcPr>
          <w:p>
            <w:r>
              <w:rPr>
                <w:b/>
              </w:rPr>
              <w:t>Continuation</w:t>
            </w:r>
          </w:p>
        </w:tc>
        <w:tc>
          <w:tcPr>
            <w:tcW w:type="dxa" w:w="3324"/>
          </w:tcPr>
          <w:p>
            <w:r>
              <w:rPr>
                <w:b w:val="0"/>
              </w:rPr>
              <w:t>Magazine spread</w:t>
            </w:r>
          </w:p>
        </w:tc>
        <w:tc>
          <w:tcPr>
            <w:tcW w:type="dxa" w:w="3324"/>
          </w:tcPr>
          <w:p>
            <w:r>
              <w:rPr>
                <w:b w:val="0"/>
              </w:rPr>
              <w:t>Diagonal image leads eye from headline to pull quote</w:t>
            </w:r>
          </w:p>
        </w:tc>
      </w:tr>
      <w:tr>
        <w:tc>
          <w:tcPr>
            <w:tcW w:type="dxa" w:w="3324"/>
          </w:tcPr>
          <w:p>
            <w:r>
              <w:rPr>
                <w:b/>
              </w:rPr>
              <w:t>Area</w:t>
            </w:r>
          </w:p>
        </w:tc>
        <w:tc>
          <w:tcPr>
            <w:tcW w:type="dxa" w:w="3324"/>
          </w:tcPr>
          <w:p>
            <w:r>
              <w:rPr>
                <w:b w:val="0"/>
              </w:rPr>
              <w:t>Overlapping shapes in poster</w:t>
            </w:r>
          </w:p>
        </w:tc>
        <w:tc>
          <w:tcPr>
            <w:tcW w:type="dxa" w:w="3324"/>
          </w:tcPr>
          <w:p>
            <w:r>
              <w:rPr>
                <w:b w:val="0"/>
              </w:rPr>
              <w:t>Small circle on large rectangle = circle perceived as "in front"</w:t>
            </w:r>
          </w:p>
        </w:tc>
      </w:tr>
    </w:tbl>
    <w:p/>
    <w:p>
      <w:pPr>
        <w:pStyle w:val="Heading1"/>
      </w:pPr>
      <w:r>
        <w:rPr>
          <w:color w:val="1F3A5F"/>
        </w:rPr>
        <w:t>The 3-Part Analysis Formula (Name → Evidence → Effect)</w:t>
      </w:r>
    </w:p>
    <w:p>
      <w:pPr>
        <w:pStyle w:val="Heading4"/>
      </w:pPr>
      <w:r>
        <w:rPr>
          <w:color w:val="1F3A5F"/>
        </w:rPr>
        <w:t>Strong Response</w:t>
      </w:r>
    </w:p>
    <w:p>
      <w:r>
        <w:rPr>
          <w:b w:val="0"/>
        </w:rPr>
        <w:t xml:space="preserve">"The gestalt principle of </w:t>
      </w:r>
      <w:r>
        <w:rPr>
          <w:b/>
        </w:rPr>
        <w:t>proximity</w:t>
      </w:r>
      <w:r>
        <w:rPr>
          <w:b w:val="0"/>
        </w:rPr>
        <w:t xml:space="preserve"> is used through the placement of the event name, date and venue in tight vertical grouping in the lower third. This clusters the key information, signalling that the three text elements are functionally related and making the poster easier to read quickly."</w:t>
      </w:r>
    </w:p>
    <w:p>
      <w:pPr>
        <w:pStyle w:val="Heading4"/>
      </w:pPr>
      <w:r>
        <w:rPr>
          <w:color w:val="1F3A5F"/>
        </w:rPr>
        <w:t>Weak Response</w:t>
      </w:r>
    </w:p>
    <w:p>
      <w:r>
        <w:rPr>
          <w:b w:val="0"/>
        </w:rPr>
        <w:t>"Proximity is used because the text is close together."</w:t>
      </w:r>
    </w:p>
    <w:p>
      <w:r>
        <w:rPr>
          <w:b w:val="0"/>
        </w:rPr>
        <w:t>Missing: specific visual evidence, effect on viewer, design intent</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VCE VCD — Gestalt Principles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