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A5F"/>
        </w:rPr>
        <w:t>Unit 2: Design Contexts and Connections</w:t>
      </w:r>
    </w:p>
    <w:p>
      <w:pPr>
        <w:jc w:val="center"/>
      </w:pPr>
      <w:r>
        <w:rPr>
          <w:b/>
          <w:color w:val="1F3A5F"/>
          <w:sz w:val="26"/>
        </w:rPr>
        <w:t>VCE Visual Communication Design — Year 11</w:t>
      </w:r>
    </w:p>
    <w:p>
      <w:pPr>
        <w:jc w:val="center"/>
      </w:pPr>
      <w:r>
        <w:rPr>
          <w:i/>
          <w:sz w:val="21"/>
        </w:rPr>
        <w:t>SAC Pack — Outcomes, Task, Conditions &amp; Criteria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EF3E2"/>
          </w:tcPr>
          <w:p>
            <w:r>
              <w:rPr>
                <w:i/>
                <w:color w:val="B45309"/>
                <w:sz w:val="18"/>
              </w:rPr>
              <w:t>Draft SAC material written to support this resource -- not sourced from or endorsed by VCAA. Outcome wording, key knowledge/skills, task design, conditions and criteria must be checked against the current VCAA VCD Study Design and ratified through your school's SAC/assessment approval process before being used for a School-Assessed Coursework result.</w:t>
            </w:r>
          </w:p>
        </w:tc>
      </w:tr>
    </w:tbl>
    <w:p/>
    <w:p>
      <w:pPr>
        <w:pStyle w:val="Heading1"/>
      </w:pPr>
      <w:r>
        <w:rPr>
          <w:color w:val="1F3A5F"/>
        </w:rPr>
        <w:t>Outcome 1 (AOS 1) — Trends in Design</w:t>
      </w:r>
    </w:p>
    <w:p>
      <w:r>
        <w:rPr>
          <w:i/>
        </w:rPr>
        <w:t>On completion of this unit the student should be able to analyse the influence of trends on the design of visual communications and their effect on audiences.</w:t>
      </w:r>
    </w:p>
    <w:p>
      <w:pPr>
        <w:pStyle w:val="Heading2"/>
      </w:pPr>
      <w:r>
        <w:rPr>
          <w:color w:val="1F3A5F"/>
        </w:rPr>
        <w:t>Key Knowledge (draft)</w:t>
      </w:r>
    </w:p>
    <w:p>
      <w:pPr>
        <w:pStyle w:val="ListBullet"/>
      </w:pPr>
      <w:r>
        <w:t>The 5 factors that drive design trends (social, cultural, economic, technological, environmental)</w:t>
      </w:r>
    </w:p>
    <w:p>
      <w:pPr>
        <w:pStyle w:val="ListBullet"/>
      </w:pPr>
      <w:r>
        <w:t>The distinction between a trend and a fad</w:t>
      </w:r>
    </w:p>
    <w:p>
      <w:pPr>
        <w:pStyle w:val="ListBullet"/>
      </w:pPr>
      <w:r>
        <w:t>Examples of current trends across the 4 design fields</w:t>
      </w:r>
    </w:p>
    <w:p>
      <w:pPr>
        <w:pStyle w:val="Heading2"/>
      </w:pPr>
      <w:r>
        <w:rPr>
          <w:color w:val="1F3A5F"/>
        </w:rPr>
        <w:t>Key Skills (draft)</w:t>
      </w:r>
    </w:p>
    <w:p>
      <w:pPr>
        <w:pStyle w:val="ListBullet"/>
      </w:pPr>
      <w:r>
        <w:t>Identify a design trend and its driving factor(s)</w:t>
      </w:r>
    </w:p>
    <w:p>
      <w:pPr>
        <w:pStyle w:val="ListBullet"/>
      </w:pPr>
      <w:r>
        <w:t>Analyse how a trend manifests across at least two design fields with specific evidence</w:t>
      </w:r>
    </w:p>
    <w:p>
      <w:pPr>
        <w:pStyle w:val="ListBullet"/>
      </w:pPr>
      <w:r>
        <w:t>Distinguish a genuine trend from a short-lived fad</w:t>
      </w:r>
    </w:p>
    <w:p>
      <w:pPr>
        <w:pStyle w:val="Heading2"/>
      </w:pPr>
      <w:r>
        <w:rPr>
          <w:color w:val="1F3A5F"/>
        </w:rPr>
        <w:t>SAC Task</w:t>
      </w:r>
    </w:p>
    <w:p>
      <w:r>
        <w:t>Select a current design trend. Analyse how it manifests across at least two design fields, identifying the factor(s) driving it. Respond as a structured written report or exam-style short-answer responses.</w:t>
      </w:r>
    </w:p>
    <w:p>
      <w:pPr>
        <w:pStyle w:val="Heading2"/>
      </w:pPr>
      <w:r>
        <w:rPr>
          <w:color w:val="1F3A5F"/>
        </w:rPr>
        <w:t>Conditions</w:t>
      </w:r>
    </w:p>
    <w:p>
      <w:pPr>
        <w:pStyle w:val="ListBullet"/>
      </w:pPr>
      <w:r>
        <w:t>Completed in class over 1-2 periods</w:t>
      </w:r>
    </w:p>
    <w:p>
      <w:pPr>
        <w:pStyle w:val="ListBullet"/>
      </w:pPr>
      <w:r>
        <w:t>Notes permitted; no internet access</w:t>
      </w:r>
    </w:p>
    <w:p>
      <w:pPr>
        <w:pStyle w:val="ListBullet"/>
      </w:pPr>
      <w:r>
        <w:t>Individual, supervised work</w:t>
      </w:r>
    </w:p>
    <w:p>
      <w:pPr>
        <w:pStyle w:val="Heading2"/>
      </w:pPr>
      <w:r>
        <w:rPr>
          <w:color w:val="1F3A5F"/>
        </w:rPr>
        <w:t>Assessment Criteria (draft, /30)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087"/>
        <w:gridCol w:w="1417"/>
      </w:tblGrid>
      <w:tr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</w:rPr>
              <w:t>Marks</w:t>
            </w:r>
          </w:p>
        </w:tc>
      </w:tr>
      <w:tr>
        <w:tc>
          <w:tcPr>
            <w:tcW w:type="dxa" w:w="7087"/>
          </w:tcPr>
          <w:p>
            <w:r>
              <w:t>Identification of trend and driving factor(s)</w:t>
            </w:r>
          </w:p>
        </w:tc>
        <w:tc>
          <w:tcPr>
            <w:tcW w:type="dxa" w:w="1417"/>
          </w:tcPr>
          <w:p>
            <w:r>
              <w:t>5</w:t>
            </w:r>
          </w:p>
        </w:tc>
      </w:tr>
      <w:tr>
        <w:tc>
          <w:tcPr>
            <w:tcW w:type="dxa" w:w="7087"/>
          </w:tcPr>
          <w:p>
            <w:r>
              <w:t>Analysis across 2+ design fields with specific evidence</w:t>
            </w:r>
          </w:p>
        </w:tc>
        <w:tc>
          <w:tcPr>
            <w:tcW w:type="dxa" w:w="1417"/>
          </w:tcPr>
          <w:p>
            <w:r>
              <w:t>15</w:t>
            </w:r>
          </w:p>
        </w:tc>
      </w:tr>
      <w:tr>
        <w:tc>
          <w:tcPr>
            <w:tcW w:type="dxa" w:w="7087"/>
          </w:tcPr>
          <w:p>
            <w:r>
              <w:t>Use of accurate vocabulary</w:t>
            </w:r>
          </w:p>
        </w:tc>
        <w:tc>
          <w:tcPr>
            <w:tcW w:type="dxa" w:w="1417"/>
          </w:tcPr>
          <w:p>
            <w:r>
              <w:t>5</w:t>
            </w:r>
          </w:p>
        </w:tc>
      </w:tr>
      <w:tr>
        <w:tc>
          <w:tcPr>
            <w:tcW w:type="dxa" w:w="7087"/>
          </w:tcPr>
          <w:p>
            <w:r>
              <w:t>Written expression</w:t>
            </w:r>
          </w:p>
        </w:tc>
        <w:tc>
          <w:tcPr>
            <w:tcW w:type="dxa" w:w="1417"/>
          </w:tcPr>
          <w:p>
            <w:r>
              <w:t>5</w:t>
            </w:r>
          </w:p>
        </w:tc>
      </w:tr>
      <w:tr>
        <w:tc>
          <w:tcPr>
            <w:tcW w:type="dxa" w:w="7087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17"/>
          </w:tcPr>
          <w:p>
            <w:r>
              <w:rPr>
                <w:b/>
              </w:rPr>
              <w:t>30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Outcome 2 (AOS 2) — Design and Industry Connections</w:t>
      </w:r>
    </w:p>
    <w:p>
      <w:r>
        <w:rPr>
          <w:i/>
        </w:rPr>
        <w:t>On completion of this unit the student should be able to apply design thinking skills to respond to a brief, and explain connections between design fields and industry practice.</w:t>
      </w:r>
    </w:p>
    <w:p>
      <w:pPr>
        <w:pStyle w:val="Heading2"/>
      </w:pPr>
      <w:r>
        <w:rPr>
          <w:color w:val="1F3A5F"/>
        </w:rPr>
        <w:t>Key Knowledge (draft)</w:t>
      </w:r>
    </w:p>
    <w:p>
      <w:pPr>
        <w:pStyle w:val="ListBullet"/>
      </w:pPr>
      <w:r>
        <w:t>Collaboration roles in the design industry (client, manufacturer, other designers, marketing/dev)</w:t>
      </w:r>
    </w:p>
    <w:p>
      <w:pPr>
        <w:pStyle w:val="ListBullet"/>
      </w:pPr>
      <w:r>
        <w:t>Factors shaping industry practice: sustainability, technology, ethics, intellectual property</w:t>
      </w:r>
    </w:p>
    <w:p>
      <w:pPr>
        <w:pStyle w:val="ListBullet"/>
      </w:pPr>
      <w:r>
        <w:t>The 4 types of intellectual property relevant to designers</w:t>
      </w:r>
    </w:p>
    <w:p>
      <w:pPr>
        <w:pStyle w:val="Heading2"/>
      </w:pPr>
      <w:r>
        <w:rPr>
          <w:color w:val="1F3A5F"/>
        </w:rPr>
        <w:t>Key Skills (draft)</w:t>
      </w:r>
    </w:p>
    <w:p>
      <w:pPr>
        <w:pStyle w:val="ListBullet"/>
      </w:pPr>
      <w:r>
        <w:t>Respond to a brief by producing a visual communication in one design field</w:t>
      </w:r>
    </w:p>
    <w:p>
      <w:pPr>
        <w:pStyle w:val="ListBullet"/>
      </w:pPr>
      <w:r>
        <w:t>Identify and explain at least one industry connection relevant to the project</w:t>
      </w:r>
    </w:p>
    <w:p>
      <w:pPr>
        <w:pStyle w:val="ListBullet"/>
      </w:pPr>
      <w:r>
        <w:t>Document the design process used</w:t>
      </w:r>
    </w:p>
    <w:p>
      <w:pPr>
        <w:pStyle w:val="Heading2"/>
      </w:pPr>
      <w:r>
        <w:rPr>
          <w:color w:val="1F3A5F"/>
        </w:rPr>
        <w:t>SAC Task</w:t>
      </w:r>
    </w:p>
    <w:p>
      <w:r>
        <w:t>Respond to a brief requiring industry awareness: produce a visual communication in one design field, while documenting at least one industry connection (a collaboration role, an intellectual property consideration, or an industry factor) relevant to the project.</w:t>
      </w:r>
    </w:p>
    <w:p>
      <w:pPr>
        <w:pStyle w:val="Heading2"/>
      </w:pPr>
      <w:r>
        <w:rPr>
          <w:color w:val="1F3A5F"/>
        </w:rPr>
        <w:t>Conditions</w:t>
      </w:r>
    </w:p>
    <w:p>
      <w:pPr>
        <w:pStyle w:val="ListBullet"/>
      </w:pPr>
      <w:r>
        <w:t>Completed over approximately 3-4 weeks</w:t>
      </w:r>
    </w:p>
    <w:p>
      <w:pPr>
        <w:pStyle w:val="ListBullet"/>
      </w:pPr>
      <w:r>
        <w:t>Folio submission combining process work and final piece</w:t>
      </w:r>
    </w:p>
    <w:p>
      <w:pPr>
        <w:pStyle w:val="ListBullet"/>
      </w:pPr>
      <w:r>
        <w:t>Individual work</w:t>
      </w:r>
    </w:p>
    <w:p>
      <w:pPr>
        <w:pStyle w:val="Heading2"/>
      </w:pPr>
      <w:r>
        <w:rPr>
          <w:color w:val="1F3A5F"/>
        </w:rPr>
        <w:t>Assessment Criteria (draft, /50)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087"/>
        <w:gridCol w:w="1417"/>
      </w:tblGrid>
      <w:tr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</w:rPr>
              <w:t>Marks</w:t>
            </w:r>
          </w:p>
        </w:tc>
      </w:tr>
      <w:tr>
        <w:tc>
          <w:tcPr>
            <w:tcW w:type="dxa" w:w="7087"/>
          </w:tcPr>
          <w:p>
            <w:r>
              <w:t>Response to the brief</w:t>
            </w:r>
          </w:p>
        </w:tc>
        <w:tc>
          <w:tcPr>
            <w:tcW w:type="dxa" w:w="1417"/>
          </w:tcPr>
          <w:p>
            <w:r>
              <w:t>15</w:t>
            </w:r>
          </w:p>
        </w:tc>
      </w:tr>
      <w:tr>
        <w:tc>
          <w:tcPr>
            <w:tcW w:type="dxa" w:w="7087"/>
          </w:tcPr>
          <w:p>
            <w:r>
              <w:t>Evidence of the design process</w:t>
            </w:r>
          </w:p>
        </w:tc>
        <w:tc>
          <w:tcPr>
            <w:tcW w:type="dxa" w:w="1417"/>
          </w:tcPr>
          <w:p>
            <w:r>
              <w:t>15</w:t>
            </w:r>
          </w:p>
        </w:tc>
      </w:tr>
      <w:tr>
        <w:tc>
          <w:tcPr>
            <w:tcW w:type="dxa" w:w="7087"/>
          </w:tcPr>
          <w:p>
            <w:r>
              <w:t>Discussion of industry connection(s)</w:t>
            </w:r>
          </w:p>
        </w:tc>
        <w:tc>
          <w:tcPr>
            <w:tcW w:type="dxa" w:w="1417"/>
          </w:tcPr>
          <w:p>
            <w:r>
              <w:t>10</w:t>
            </w:r>
          </w:p>
        </w:tc>
      </w:tr>
      <w:tr>
        <w:tc>
          <w:tcPr>
            <w:tcW w:type="dxa" w:w="7087"/>
          </w:tcPr>
          <w:p>
            <w:r>
              <w:t>Quality of final presentation</w:t>
            </w:r>
          </w:p>
        </w:tc>
        <w:tc>
          <w:tcPr>
            <w:tcW w:type="dxa" w:w="1417"/>
          </w:tcPr>
          <w:p>
            <w:r>
              <w:t>10</w:t>
            </w:r>
          </w:p>
        </w:tc>
      </w:tr>
      <w:tr>
        <w:tc>
          <w:tcPr>
            <w:tcW w:type="dxa" w:w="7087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17"/>
          </w:tcPr>
          <w:p>
            <w:r>
              <w:rPr>
                <w:b/>
              </w:rPr>
              <w:t>50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Authentication</w:t>
      </w:r>
    </w:p>
    <w:p>
      <w:pPr>
        <w:pStyle w:val="ListBullet"/>
      </w:pPr>
      <w:r>
        <w:t>Students sign an authentication record confirming the submitted work is their own.</w:t>
      </w:r>
    </w:p>
    <w:p>
      <w:pPr>
        <w:pStyle w:val="ListBullet"/>
      </w:pPr>
      <w:r>
        <w:t>Significant work is completed under supervised conditions in class wherever practical.</w:t>
      </w:r>
    </w:p>
    <w:p>
      <w:pPr>
        <w:pStyle w:val="ListBullet"/>
      </w:pPr>
      <w:r>
        <w:t>Keep dated drafts/process evidence (sketches, research, teacher check-ins) to support authentication if a student is absent for part of the task or work is challenged.</w:t>
      </w:r>
    </w:p>
    <w:p>
      <w:pPr>
        <w:pStyle w:val="ListBullet"/>
      </w:pPr>
      <w:r>
        <w:t>Follow your school's policy for redemption/resubmission and for students absent for a scheduled SAC.</w:t>
      </w:r>
    </w:p>
    <w:sectPr w:rsidR="00FC693F" w:rsidRPr="0006063C" w:rsidSect="00034616">
      <w:footerReference w:type="default" r:id="rId9"/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Unit 2 SAC Pack  |  Page </w:t>
    </w:r>
    <w:r>
      <w:rPr>
        <w:color w:val="99999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