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A5F"/>
        </w:rPr>
        <w:t>Unit 3: Reconceptualisation and Reinvention</w:t>
      </w:r>
    </w:p>
    <w:p>
      <w:pPr>
        <w:jc w:val="center"/>
      </w:pPr>
      <w:r>
        <w:rPr>
          <w:b/>
          <w:color w:val="1F3A5F"/>
          <w:sz w:val="26"/>
        </w:rPr>
        <w:t>VCE Visual Communication Design — Year 12</w:t>
      </w:r>
    </w:p>
    <w:p>
      <w:pPr>
        <w:jc w:val="center"/>
      </w:pPr>
      <w:r>
        <w:rPr>
          <w:i/>
          <w:sz w:val="21"/>
        </w:rPr>
        <w:t>Extended Design Knowledge — beyond the study design</w:t>
      </w:r>
    </w:p>
    <w:p/>
    <w:tbl>
      <w:tblPr>
        <w:tblStyle w:val="TableGrid"/>
        <w:tblW w:type="auto" w:w="0"/>
        <w:tblLook w:firstColumn="1" w:firstRow="1" w:lastColumn="0" w:lastRow="0" w:noHBand="0" w:noVBand="1" w:val="04A0"/>
      </w:tblPr>
      <w:tblGrid>
        <w:gridCol w:w="9972"/>
      </w:tblGrid>
      <w:tr>
        <w:tc>
          <w:tcPr>
            <w:tcW w:type="dxa" w:w="9972"/>
            <w:shd w:val="clear" w:color="auto" w:fill="FEF3E2"/>
          </w:tcPr>
          <w:p>
            <w:r>
              <w:rPr>
                <w:i/>
                <w:color w:val="B45309"/>
                <w:sz w:val="18"/>
              </w:rPr>
              <w:t>Enrichment material for stronger analysis, broader design literacy and folio quality. Not required by the VCAA study design and not directly examinable, but strengthens the depth and sophistication of exam responses and folio annotations.</w:t>
            </w:r>
          </w:p>
        </w:tc>
      </w:tr>
    </w:tbl>
    <w:p/>
    <w:p>
      <w:pPr>
        <w:pStyle w:val="Heading1"/>
      </w:pPr>
      <w:r>
        <w:rPr>
          <w:color w:val="1F3A5F"/>
        </w:rPr>
        <w:t>Semiotics and Visual Rhetoric</w:t>
      </w:r>
    </w:p>
    <w:p>
      <w:pPr>
        <w:pStyle w:val="Heading2"/>
      </w:pPr>
      <w:r>
        <w:rPr>
          <w:color w:val="1F3A5F"/>
        </w:rPr>
        <w:t>Beyond icon/index/symbol</w:t>
      </w:r>
    </w:p>
    <w:p>
      <w:pPr>
        <w:pStyle w:val="ListBullet"/>
      </w:pPr>
      <w:r>
        <w:t>Visual metaphor — representing one concept through the image of another (a lightbulb for an idea)</w:t>
      </w:r>
    </w:p>
    <w:p>
      <w:pPr>
        <w:pStyle w:val="ListBullet"/>
      </w:pPr>
      <w:r>
        <w:t>Visual metonymy — representing a whole through a closely associated part (a crown for royalty)</w:t>
      </w:r>
    </w:p>
    <w:p>
      <w:pPr>
        <w:pStyle w:val="ListBullet"/>
      </w:pPr>
      <w:r>
        <w:t>Myth and connotation (Roland Barthes) — how repeated cultural use makes a sign feel 'natural' or self-evident, when it is in fact culturally constructed</w:t>
      </w:r>
    </w:p>
    <w:p>
      <w:pPr>
        <w:pStyle w:val="Heading1"/>
      </w:pPr>
      <w:r>
        <w:rPr>
          <w:color w:val="1F3A5F"/>
        </w:rPr>
        <w:t>Grid Systems and Layout Theory</w:t>
      </w:r>
    </w:p>
    <w:p>
      <w:pPr>
        <w:pStyle w:val="Heading2"/>
      </w:pPr>
      <w:r>
        <w:rPr>
          <w:color w:val="1F3A5F"/>
        </w:rPr>
        <w:t>Types of grid</w:t>
      </w:r>
    </w:p>
    <w:p>
      <w:pPr>
        <w:pStyle w:val="ListBullet"/>
      </w:pPr>
      <w:r>
        <w:t>Column grid — vertical divisions for text-heavy layouts (newspapers, editorial)</w:t>
      </w:r>
    </w:p>
    <w:p>
      <w:pPr>
        <w:pStyle w:val="ListBullet"/>
      </w:pPr>
      <w:r>
        <w:t>Modular grid — a grid of consistent modules/cells for complex data-rich layouts</w:t>
      </w:r>
    </w:p>
    <w:p>
      <w:pPr>
        <w:pStyle w:val="ListBullet"/>
      </w:pPr>
      <w:r>
        <w:t>Baseline grid — horizontal lines ensuring consistent vertical rhythm of text across a page</w:t>
      </w:r>
    </w:p>
    <w:p>
      <w:pPr>
        <w:pStyle w:val="Heading2"/>
      </w:pPr>
      <w:r>
        <w:rPr>
          <w:color w:val="1F3A5F"/>
        </w:rPr>
        <w:t>The Swiss grid legacy</w:t>
      </w:r>
    </w:p>
    <w:p>
      <w:r>
        <w:t>The International Typographic Style formalised mathematical grid systems as a tool for objective, universal communication — still the basis of most professional layout software and responsive web design grids today.</w:t>
      </w:r>
    </w:p>
    <w:p>
      <w:pPr>
        <w:pStyle w:val="Heading2"/>
      </w:pPr>
      <w:r>
        <w:rPr>
          <w:color w:val="1F3A5F"/>
        </w:rPr>
        <w:t>Proportion systems</w:t>
      </w:r>
    </w:p>
    <w:p>
      <w:r>
        <w:t>The golden ratio (1:1.618) and the rule of thirds are classical tools for dividing a composition in a way the eye finds naturally balanced — useful vocabulary when analysing or justifying a layout decision.</w:t>
      </w:r>
    </w:p>
    <w:p>
      <w:pPr>
        <w:pStyle w:val="Heading1"/>
      </w:pPr>
      <w:r>
        <w:rPr>
          <w:color w:val="1F3A5F"/>
        </w:rPr>
        <w:t>Cross-Cultural Design Considerations</w:t>
      </w:r>
    </w:p>
    <w:p>
      <w:pPr>
        <w:pStyle w:val="Heading2"/>
      </w:pPr>
      <w:r>
        <w:rPr>
          <w:color w:val="1F3A5F"/>
        </w:rPr>
        <w:t>Designing for global audiences</w:t>
      </w:r>
    </w:p>
    <w:p>
      <w:pPr>
        <w:pStyle w:val="ListBullet"/>
      </w:pPr>
      <w:r>
        <w:t>Localisation — adapting a design for a specific market (language, imagery, colour meaning)</w:t>
      </w:r>
    </w:p>
    <w:p>
      <w:pPr>
        <w:pStyle w:val="ListBullet"/>
      </w:pPr>
      <w:r>
        <w:t>Internationalisation — designing a flexible system that can be localised efficiently</w:t>
      </w:r>
    </w:p>
    <w:p>
      <w:pPr>
        <w:pStyle w:val="ListBullet"/>
      </w:pPr>
      <w:r>
        <w:t>Symbol meaning varies by culture — always research target-market conventions before reusing a symbol or gesture in a new context</w:t>
      </w:r>
    </w:p>
    <w:p>
      <w:pPr>
        <w:pStyle w:val="Heading1"/>
      </w:pPr>
      <w:r>
        <w:rPr>
          <w:color w:val="1F3A5F"/>
        </w:rPr>
        <w:t>Research Methods for Designers</w:t>
      </w:r>
    </w:p>
    <w:p>
      <w:pPr>
        <w:pStyle w:val="Heading2"/>
      </w:pPr>
      <w:r>
        <w:rPr>
          <w:color w:val="1F3A5F"/>
        </w:rPr>
        <w:t>Qualitative vs quantitative</w:t>
      </w:r>
    </w:p>
    <w:p>
      <w:r>
        <w:t>Qualitative research (interviews, observation) reveals why users behave a certain way; quantitative research (surveys, analytics) reveals how many/how often. Strong design research typically combines both.</w:t>
      </w:r>
    </w:p>
    <w:p>
      <w:pPr>
        <w:pStyle w:val="Heading2"/>
      </w:pPr>
      <w:r>
        <w:rPr>
          <w:color w:val="1F3A5F"/>
        </w:rPr>
        <w:t>Other useful methods</w:t>
      </w:r>
    </w:p>
    <w:p>
      <w:pPr>
        <w:pStyle w:val="ListBullet"/>
      </w:pPr>
      <w:r>
        <w:t>Empathy mapping — documenting what a user says, thinks, feels and does</w:t>
      </w:r>
    </w:p>
    <w:p>
      <w:pPr>
        <w:pStyle w:val="ListBullet"/>
      </w:pPr>
      <w:r>
        <w:t>Competitive analysis — reviewing existing solutions to identify gaps and opportunities</w:t>
      </w:r>
    </w:p>
    <w:p>
      <w:pPr>
        <w:pStyle w:val="ListBullet"/>
      </w:pPr>
      <w:r>
        <w:t>Mood boards — curated visual references establishing tone, palette and style direction</w:t>
      </w:r>
    </w:p>
    <w:p>
      <w:pPr>
        <w:pStyle w:val="Heading1"/>
      </w:pPr>
      <w:r>
        <w:rPr>
          <w:color w:val="1F3A5F"/>
        </w:rPr>
        <w:t>Ideation Techniques Beyond Brainstorming</w:t>
      </w:r>
    </w:p>
    <w:p>
      <w:pPr>
        <w:pStyle w:val="Heading2"/>
      </w:pPr>
      <w:r>
        <w:rPr>
          <w:color w:val="1F3A5F"/>
        </w:rPr>
        <w:t>Structured ideation methods</w:t>
      </w:r>
    </w:p>
    <w:p>
      <w:pPr>
        <w:pStyle w:val="ListBullet"/>
      </w:pPr>
      <w:r>
        <w:t>SCAMPER — Substitute, Combine, Adapt, Modify, Put to other use, Eliminate, Reverse</w:t>
      </w:r>
    </w:p>
    <w:p>
      <w:pPr>
        <w:pStyle w:val="ListBullet"/>
      </w:pPr>
      <w:r>
        <w:t>Crazy 8s — sketch 8 distinct ideas in 8 minutes to force rapid divergent thinking</w:t>
      </w:r>
    </w:p>
    <w:p>
      <w:pPr>
        <w:pStyle w:val="ListBullet"/>
      </w:pPr>
      <w:r>
        <w:t>Worst possible idea — deliberately generating bad ideas to break fixation and spark humour-led insight</w:t>
      </w:r>
    </w:p>
    <w:p>
      <w:pPr>
        <w:pStyle w:val="ListBullet"/>
      </w:pPr>
      <w:r>
        <w:t>Biomimicry as ideation — asking 'how would nature solve this?'</w:t>
      </w:r>
    </w:p>
    <w:p>
      <w:pPr>
        <w:pStyle w:val="Heading1"/>
      </w:pPr>
      <w:r>
        <w:rPr>
          <w:color w:val="1F3A5F"/>
        </w:rPr>
        <w:t>Presenting and Pitching Design Concepts</w:t>
      </w:r>
    </w:p>
    <w:p>
      <w:pPr>
        <w:pStyle w:val="Heading2"/>
      </w:pPr>
      <w:r>
        <w:rPr>
          <w:color w:val="1F3A5F"/>
        </w:rPr>
        <w:t>Communicating design decisions</w:t>
      </w:r>
    </w:p>
    <w:p>
      <w:r>
        <w:t>Professional designers frame concepts as a story: the problem, the insight, the solution, the expected impact — rather than simply describing what was made. Practising this framing strengthens folio annotations and oral presentation of concepts.</w:t>
      </w:r>
    </w:p>
    <w:sectPr w:rsidR="00FC693F" w:rsidRPr="0006063C" w:rsidSect="00034616">
      <w:footerReference w:type="default" r:id="rId9"/>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 xml:space="preserve">Unit 3 Extended Knowledge  |  Page </w:t>
    </w:r>
    <w:r>
      <w:rPr>
        <w:color w:val="999999"/>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