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Unit 3: Reconceptualisation and Reinvention</w:t>
      </w:r>
    </w:p>
    <w:p>
      <w:pPr>
        <w:jc w:val="center"/>
      </w:pPr>
      <w:r>
        <w:rPr>
          <w:b/>
          <w:color w:val="1F3A5F"/>
          <w:sz w:val="26"/>
        </w:rPr>
        <w:t>VCE Visual Communication Design — Year 12</w:t>
      </w:r>
    </w:p>
    <w:p>
      <w:pPr>
        <w:jc w:val="center"/>
      </w:pPr>
      <w:r>
        <w:rPr>
          <w:i/>
          <w:sz w:val="21"/>
        </w:rPr>
        <w:t>Student Workbook — all practice for this unit</w:t>
      </w:r>
    </w:p>
    <w:p/>
    <w:p>
      <w:pPr>
        <w:pStyle w:val="Heading2"/>
      </w:pPr>
      <w:r>
        <w:rPr>
          <w:color w:val="1F3A5F"/>
        </w:rPr>
        <w:t>My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986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Teacher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Year</w:t>
            </w:r>
          </w:p>
        </w:tc>
        <w:tc>
          <w:tcPr>
            <w:tcW w:type="dxa" w:w="4986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Contents</w:t>
      </w:r>
    </w:p>
    <w:p>
      <w:pPr>
        <w:pStyle w:val="ListBullet"/>
      </w:pPr>
      <w:r>
        <w:t>Activity 1: Analyse an Existing Design</w:t>
      </w:r>
    </w:p>
    <w:p>
      <w:pPr>
        <w:pStyle w:val="ListBullet"/>
      </w:pPr>
      <w:r>
        <w:t>Activity 2: Reconceptualisation or Reinvention?</w:t>
      </w:r>
    </w:p>
    <w:p>
      <w:pPr>
        <w:pStyle w:val="ListBullet"/>
      </w:pPr>
      <w:r>
        <w:t>Activity 3: Methods of Reinterpretation — Match</w:t>
      </w:r>
    </w:p>
    <w:p>
      <w:pPr>
        <w:pStyle w:val="ListBullet"/>
      </w:pPr>
      <w:r>
        <w:t>Activity 4: Deconstruct a Brief</w:t>
      </w:r>
    </w:p>
    <w:p>
      <w:pPr>
        <w:pStyle w:val="ListBullet"/>
      </w:pPr>
      <w:r>
        <w:t>Activity 5: Generate Two Distinct Concepts</w:t>
      </w:r>
    </w:p>
    <w:p>
      <w:pPr>
        <w:pStyle w:val="ListBullet"/>
      </w:pPr>
      <w:r>
        <w:t>Activity 6: Short Analysis — Exam Practice</w:t>
      </w:r>
    </w:p>
    <w:p>
      <w:pPr>
        <w:pStyle w:val="ListBullet"/>
      </w:pPr>
      <w:r>
        <w:t>Activity 7: Extended Response — Case Study</w:t>
      </w:r>
    </w:p>
    <w:p>
      <w:pPr>
        <w:pStyle w:val="ListBullet"/>
      </w:pPr>
      <w:r>
        <w:t>Activity 8: Reflection — What I Know</w:t>
      </w:r>
    </w:p>
    <w:p>
      <w:r>
        <w:rPr>
          <w:b/>
          <w:color w:val="1F3A5F"/>
        </w:rPr>
        <w:t>Total marks available: 68</w:t>
      </w:r>
    </w:p>
    <w:p>
      <w:r>
        <w:br w:type="page"/>
      </w:r>
    </w:p>
    <w:p>
      <w:pPr>
        <w:pStyle w:val="Heading1"/>
      </w:pPr>
      <w:r>
        <w:rPr>
          <w:color w:val="1F3A5F"/>
        </w:rPr>
        <w:t>Activity 1: Analyse an Existing Design</w:t>
      </w:r>
    </w:p>
    <w:p>
      <w:r>
        <w:rPr>
          <w:b/>
          <w:color w:val="1F3A5F"/>
        </w:rPr>
        <w:t>Marks available: 12 marks</w:t>
      </w:r>
    </w:p>
    <w:p>
      <w:pPr>
        <w:ind w:left="283"/>
      </w:pPr>
      <w:r>
        <w:rPr>
          <w:b w:val="0"/>
          <w:i/>
          <w:color w:val="404040"/>
        </w:rPr>
        <w:t>Choose an existing design from any design field. Complete the table using the analysis framework.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>
              <w:rPr>
                <w:b/>
                <w:color w:val="FFFFFF"/>
              </w:rPr>
              <w:t>Framework Category</w:t>
            </w:r>
          </w:p>
        </w:tc>
        <w:tc>
          <w:tcPr>
            <w:tcW w:type="dxa" w:w="4986"/>
            <w:shd w:val="clear" w:color="auto" w:fill="1F3A5F"/>
          </w:tcPr>
          <w:p>
            <w:r>
              <w:rPr>
                <w:b/>
                <w:color w:val="FFFFFF"/>
              </w:rPr>
              <w:t>Your Analysis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Purpose &amp; Audience</w:t>
            </w:r>
          </w:p>
        </w:tc>
        <w:tc>
          <w:tcPr>
            <w:tcW w:type="dxa" w:w="4986"/>
            <w:shd w:val="clear" w:color="auto" w:fill="FAFAFA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Elements &amp; Principles</w:t>
            </w:r>
          </w:p>
        </w:tc>
        <w:tc>
          <w:tcPr>
            <w:tcW w:type="dxa" w:w="4986"/>
            <w:shd w:val="clear" w:color="auto" w:fill="FAFAFA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Materials &amp; Methods</w:t>
            </w:r>
          </w:p>
        </w:tc>
        <w:tc>
          <w:tcPr>
            <w:tcW w:type="dxa" w:w="4986"/>
            <w:shd w:val="clear" w:color="auto" w:fill="FAFAFA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4986"/>
            <w:shd w:val="clear" w:color="auto" w:fill="FAFAFA"/>
          </w:tcPr>
          <w:p/>
        </w:tc>
      </w:tr>
    </w:tbl>
    <w:p/>
    <w:p/>
    <w:p>
      <w:pPr>
        <w:pStyle w:val="Heading1"/>
      </w:pPr>
      <w:r>
        <w:rPr>
          <w:color w:val="1F3A5F"/>
        </w:rPr>
        <w:t>Activity 2: Reconceptualisation or Reinvention?</w:t>
      </w:r>
    </w:p>
    <w:p>
      <w:r>
        <w:rPr>
          <w:b/>
          <w:color w:val="1F3A5F"/>
        </w:rPr>
        <w:t>Marks available: 10 marks</w:t>
      </w:r>
    </w:p>
    <w:p>
      <w:pPr>
        <w:ind w:left="283"/>
      </w:pPr>
      <w:r>
        <w:rPr>
          <w:b w:val="0"/>
          <w:i/>
          <w:color w:val="404040"/>
        </w:rPr>
        <w:t xml:space="preserve">For each scenario, circle </w:t>
      </w:r>
      <w:r>
        <w:rPr>
          <w:b/>
          <w:i/>
          <w:color w:val="404040"/>
        </w:rPr>
        <w:t>Reconceptualisation</w:t>
      </w:r>
      <w:r>
        <w:rPr>
          <w:b w:val="0"/>
          <w:i/>
          <w:color w:val="404040"/>
        </w:rPr>
        <w:t xml:space="preserve"> or </w:t>
      </w:r>
      <w:r>
        <w:rPr>
          <w:b/>
          <w:i/>
          <w:color w:val="404040"/>
        </w:rPr>
        <w:t>Reinvention</w:t>
      </w:r>
      <w:r>
        <w:rPr>
          <w:b w:val="0"/>
          <w:i/>
          <w:color w:val="404040"/>
        </w:rPr>
        <w:t xml:space="preserve"> and justify in one sentence.</w:t>
      </w:r>
    </w:p>
    <w:p>
      <w:r>
        <w:rPr>
          <w:b/>
        </w:rPr>
        <w:t xml:space="preserve">1. A children's cereal box redesigned with the same characters but a more sophisticated palette for an adult "nostalgia" market. </w:t>
      </w:r>
      <w:r>
        <w:rPr>
          <w:b/>
        </w:rPr>
        <w:t>Recon / Reinvent</w:t>
      </w: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 xml:space="preserve">2. A printed museum brochure transformed into a fully interactive AR phone experience. </w:t>
      </w:r>
      <w:r>
        <w:rPr>
          <w:b/>
        </w:rPr>
        <w:t>Recon / Reinvent</w:t>
      </w: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 xml:space="preserve">3. A café's logo redrawn in a bolder colour palette to target a younger demographic, keeping the same mark. </w:t>
      </w:r>
      <w:r>
        <w:rPr>
          <w:b/>
        </w:rPr>
        <w:t>Recon / Reinvent</w:t>
      </w:r>
    </w:p>
    <w:p>
      <w:pPr>
        <w:spacing w:after="280"/>
        <w:pBdr>
          <w:bottom w:val="single" w:sz="6" w:space="1" w:color="BFBFBF"/>
        </w:pBdr>
      </w:pPr>
    </w:p>
    <w:p/>
    <w:p>
      <w:pPr>
        <w:pStyle w:val="Heading1"/>
      </w:pPr>
      <w:r>
        <w:rPr>
          <w:color w:val="1F3A5F"/>
        </w:rPr>
        <w:t>Activity 3: Methods of Reinterpretation — Match</w:t>
      </w:r>
    </w:p>
    <w:p>
      <w:r>
        <w:rPr>
          <w:b/>
          <w:color w:val="1F3A5F"/>
        </w:rPr>
        <w:t>Marks available: 8 marks</w:t>
      </w:r>
    </w:p>
    <w:p>
      <w:pPr>
        <w:ind w:left="283"/>
      </w:pPr>
      <w:r>
        <w:rPr>
          <w:b w:val="0"/>
          <w:i/>
          <w:color w:val="404040"/>
        </w:rPr>
        <w:t>Match each method to its correct example.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324"/>
          </w:tcPr>
          <w:p>
            <w:r>
              <w:t>Change Audience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A A 1960s poster style is applied to a 2026 music festival campaign</w:t>
            </w:r>
          </w:p>
        </w:tc>
      </w:tr>
      <w:tr>
        <w:tc>
          <w:tcPr>
            <w:tcW w:type="dxa" w:w="3324"/>
          </w:tcPr>
          <w:p>
            <w:r>
              <w:t>Change Field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B A logo becomes a large-scale spatial installation in a foyer</w:t>
            </w:r>
          </w:p>
        </w:tc>
      </w:tr>
      <w:tr>
        <w:tc>
          <w:tcPr>
            <w:tcW w:type="dxa" w:w="3324"/>
          </w:tcPr>
          <w:p>
            <w:r>
              <w:t>Change Era/Style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C A print magazine layout becomes a scrollable website</w:t>
            </w:r>
          </w:p>
        </w:tc>
      </w:tr>
      <w:tr>
        <w:tc>
          <w:tcPr>
            <w:tcW w:type="dxa" w:w="3324"/>
          </w:tcPr>
          <w:p>
            <w:r>
              <w:t>Change Medium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D A luxury perfume packaging is redesigned for a budget supermarket range</w:t>
            </w:r>
          </w:p>
        </w:tc>
      </w:tr>
    </w:tbl>
    <w:p/>
    <w:p/>
    <w:p>
      <w:pPr>
        <w:pStyle w:val="Heading1"/>
      </w:pPr>
      <w:r>
        <w:rPr>
          <w:color w:val="1F3A5F"/>
        </w:rPr>
        <w:t>Activity 4: Deconstruct a Brief</w:t>
      </w:r>
    </w:p>
    <w:p>
      <w:r>
        <w:rPr>
          <w:b/>
          <w:color w:val="1F3A5F"/>
        </w:rPr>
        <w:t>Marks available: 10 marks</w:t>
      </w:r>
    </w:p>
    <w:p>
      <w:pPr>
        <w:ind w:left="283"/>
      </w:pPr>
      <w:r>
        <w:rPr>
          <w:b w:val="0"/>
          <w:i/>
          <w:color w:val="404040"/>
        </w:rPr>
        <w:t xml:space="preserve">Read the brief below and identify what is </w:t>
      </w:r>
      <w:r>
        <w:rPr>
          <w:b/>
          <w:i/>
          <w:color w:val="404040"/>
        </w:rPr>
        <w:t>missing or unclear</w:t>
      </w:r>
      <w:r>
        <w:rPr>
          <w:b w:val="0"/>
          <w:i/>
          <w:color w:val="404040"/>
        </w:rPr>
        <w:t>.</w:t>
      </w:r>
    </w:p>
    <w:p>
      <w:r>
        <w:rPr>
          <w:b w:val="0"/>
        </w:rPr>
        <w:t xml:space="preserve"> </w:t>
      </w:r>
      <w:r>
        <w:rPr>
          <w:b w:val="0"/>
        </w:rPr>
        <w:t>"Design a new identity for a local bakery. It should look modern and be used across packaging and signage."</w:t>
      </w:r>
      <w:r>
        <w:rPr>
          <w:b w:val="0"/>
        </w:rPr>
        <w:t xml:space="preserve"> </w:t>
      </w:r>
    </w:p>
    <w:p>
      <w:pPr>
        <w:ind w:left="283"/>
      </w:pPr>
      <w:r>
        <w:rPr>
          <w:b w:val="0"/>
          <w:i/>
          <w:color w:val="404040"/>
        </w:rPr>
        <w:t>List THREE things missing from this brief (e.g. audience, constraints) and explain why each matters.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/>
    <w:p>
      <w:pPr>
        <w:pStyle w:val="Heading1"/>
      </w:pPr>
      <w:r>
        <w:rPr>
          <w:color w:val="1F3A5F"/>
        </w:rPr>
        <w:t>Activity 5: Generate Two Distinct Concepts</w:t>
      </w:r>
    </w:p>
    <w:p>
      <w:r>
        <w:rPr>
          <w:b/>
          <w:color w:val="1F3A5F"/>
        </w:rPr>
        <w:t>Marks available: 12 marks</w:t>
      </w:r>
    </w:p>
    <w:p>
      <w:pPr>
        <w:ind w:left="283"/>
      </w:pPr>
      <w:r>
        <w:rPr>
          <w:b w:val="0"/>
          <w:i/>
          <w:color w:val="404040"/>
        </w:rPr>
        <w:t>Using your own brief (or the bakery brief above), sketch TWO thumbnail concepts that are genuinely distinct in visual approach. Annotate each with one sentence explaining the difference.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AFAFA"/>
          </w:tcPr>
          <w:p>
            <w:pPr>
              <w:jc w:val="center"/>
            </w:pPr>
            <w:r>
              <w:rPr>
                <w:i/>
                <w:color w:val="999999"/>
              </w:rPr>
              <w:t>Concept 1 (space for drawing)</w:t>
            </w:r>
          </w:p>
          <w:p/>
          <w:p/>
          <w:p/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AFAFA"/>
          </w:tcPr>
          <w:p>
            <w:pPr>
              <w:jc w:val="center"/>
            </w:pPr>
            <w:r>
              <w:rPr>
                <w:i/>
                <w:color w:val="999999"/>
              </w:rPr>
              <w:t>Concept 2 (space for drawing)</w:t>
            </w:r>
          </w:p>
          <w:p/>
          <w:p/>
          <w:p/>
          <w:p/>
        </w:tc>
      </w:tr>
    </w:tbl>
    <w:p/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/>
    <w:p>
      <w:pPr>
        <w:pStyle w:val="Heading1"/>
      </w:pPr>
      <w:r>
        <w:rPr>
          <w:color w:val="1F3A5F"/>
        </w:rPr>
        <w:t>Activity 6: Short Analysis — Exam Practice</w:t>
      </w:r>
    </w:p>
    <w:p>
      <w:r>
        <w:rPr>
          <w:b/>
          <w:color w:val="1F3A5F"/>
        </w:rPr>
        <w:t>Marks available: 6 marks (2 marks each)</w:t>
      </w:r>
    </w:p>
    <w:p>
      <w:pPr>
        <w:ind w:left="283"/>
      </w:pPr>
      <w:r>
        <w:rPr>
          <w:b w:val="0"/>
          <w:i/>
          <w:color w:val="404040"/>
        </w:rPr>
        <w:t>Write a 2-mark response for each scenario, using Feature → Evidence → Effect.</w:t>
      </w:r>
    </w:p>
    <w:p>
      <w:r>
        <w:rPr>
          <w:b/>
        </w:rPr>
        <w:t>1. A heritage-style typeface is used in a redesign of a modern tech company's logo.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>2. A brand's mascot is redrawn with sharper, more geometric lines for a "premium" reconceptualisation.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r>
        <w:rPr>
          <w:b/>
        </w:rPr>
        <w:t>3. A physical retail store experience is reinvented as a fully digital app-based shopping journey.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/>
    <w:p>
      <w:pPr>
        <w:pStyle w:val="Heading1"/>
      </w:pPr>
      <w:r>
        <w:rPr>
          <w:color w:val="1F3A5F"/>
        </w:rPr>
        <w:t>Activity 7: Extended Response — Case Study</w:t>
      </w:r>
    </w:p>
    <w:p>
      <w:r>
        <w:rPr>
          <w:b/>
          <w:color w:val="1F3A5F"/>
        </w:rPr>
        <w:t>Marks available: 10 marks</w:t>
      </w:r>
    </w:p>
    <w:p>
      <w:pPr>
        <w:ind w:left="283"/>
      </w:pPr>
      <w:r>
        <w:rPr>
          <w:b w:val="0"/>
          <w:i/>
          <w:color w:val="404040"/>
        </w:rPr>
        <w:t>Read the case study. Write an extended response (4–5 sentences) analysing the original design and proposing ONE method of reinterpretation, with justification.</w:t>
      </w:r>
    </w:p>
    <w:p>
      <w:r>
        <w:rPr>
          <w:b w:val="0"/>
        </w:rPr>
        <w:t xml:space="preserve"> </w:t>
      </w:r>
      <w:r>
        <w:rPr>
          <w:b w:val="0"/>
        </w:rPr>
        <w:t>A 1980s arcade game box uses bold primary colours, chunky pixel-art illustration and a thick black outline typeface. It was designed to appeal to teenage boys in video rental stores.</w:t>
      </w:r>
      <w:r>
        <w:rPr>
          <w:b w:val="0"/>
        </w:rPr>
        <w:t xml:space="preserve"> 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9F3EC"/>
          </w:tcPr>
          <w:p>
            <w:r>
              <w:rPr>
                <w:b/>
                <w:color w:val="1F4B3F"/>
              </w:rPr>
              <w:t>Model response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</w:rPr>
              <w:t xml:space="preserve">The original design uses </w:t>
            </w:r>
            <w:r>
              <w:rPr>
                <w:b/>
              </w:rPr>
              <w:t>bold primary colours</w:t>
            </w:r>
            <w:r>
              <w:rPr>
                <w:b w:val="0"/>
              </w:rPr>
              <w:t xml:space="preserve"> and a </w:t>
            </w:r>
            <w:r>
              <w:rPr>
                <w:b/>
              </w:rPr>
              <w:t>thick black outline typeface</w:t>
            </w:r>
            <w:r>
              <w:rPr>
                <w:b w:val="0"/>
              </w:rPr>
              <w:t xml:space="preserve"> to create high contrast and energetic visual impact, appealing to its teenage audience through a sense of excitement and action appropriate to the arcade genre. The chunky pixel-art illustration reflects the technological context of the era, when low-resolution graphics were the industry standard. If </w:t>
            </w:r>
            <w:r>
              <w:rPr>
                <w:b/>
              </w:rPr>
              <w:t>reconceptualised</w:t>
            </w:r>
            <w:r>
              <w:rPr>
                <w:b w:val="0"/>
              </w:rPr>
              <w:t xml:space="preserve"> for a contemporary retro-gaming subscription service targeting nostalgic adults, the same pixel-art style and bold palette could be retained, but refined with cleaner vector linework and a more sophisticated colour saturation — preserving the nostalgic identity while signalling a premium, adult-oriented product rather than a children's toy-store item.</w:t>
            </w:r>
          </w:p>
        </w:tc>
      </w:tr>
    </w:tbl>
    <w:p/>
    <w:p/>
    <w:p>
      <w:pPr>
        <w:pStyle w:val="Heading1"/>
      </w:pPr>
      <w:r>
        <w:rPr>
          <w:color w:val="1F3A5F"/>
        </w:rPr>
        <w:t>Activity 8: Reflection — What I Know</w:t>
      </w:r>
    </w:p>
    <w:p>
      <w:pPr>
        <w:ind w:left="283"/>
      </w:pPr>
      <w:r>
        <w:rPr>
          <w:b w:val="0"/>
          <w:i/>
          <w:color w:val="404040"/>
        </w:rPr>
        <w:t>Use this page to reflect on your learning so far. Be honest — this helps you study smarter!</w:t>
      </w:r>
    </w:p>
    <w:p>
      <w:pPr>
        <w:pStyle w:val="Heading2"/>
      </w:pPr>
      <w:r>
        <w:rPr>
          <w:color w:val="1F3A5F"/>
        </w:rPr>
        <w:t>Confidence Check</w:t>
      </w:r>
    </w:p>
    <w:p>
      <w:r>
        <w:rPr>
          <w:b w:val="0"/>
        </w:rPr>
        <w:t>Rate your confidence (1 = not sure · 3 = confident · 5 = could teach it):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Rating (circle one)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What I'm unsure about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</w:rPr>
              <w:t>The analysis framework (purpose, elements, materials, context)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Reconceptualisation vs reinvention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Deconstructing a design brief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Generating two genuinely distinct concepts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Writing an extended analysis/reinterpretation response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</w:tbl>
    <w:p/>
    <w:p>
      <w:pPr>
        <w:pStyle w:val="Heading2"/>
      </w:pPr>
      <w:r>
        <w:rPr>
          <w:color w:val="1F3A5F"/>
        </w:rPr>
        <w:t>My Learning Goals</w:t>
      </w:r>
    </w:p>
    <w:p>
      <w:pPr>
        <w:ind w:left="283"/>
      </w:pPr>
      <w:r>
        <w:rPr>
          <w:b w:val="0"/>
          <w:i/>
          <w:color w:val="404040"/>
        </w:rPr>
        <w:t>Before next lesson, I will review / practise: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pStyle w:val="Heading2"/>
      </w:pPr>
      <w:r>
        <w:rPr>
          <w:color w:val="1F3A5F"/>
        </w:rPr>
        <w:t>One thing I found surprising or interesting:</w:t>
      </w:r>
    </w:p>
    <w:p>
      <w:pPr>
        <w:spacing w:after="280"/>
        <w:pBdr>
          <w:bottom w:val="single" w:sz="6" w:space="1" w:color="BFBFBF"/>
        </w:pBdr>
      </w:pPr>
    </w:p>
    <w:p>
      <w:pPr>
        <w:spacing w:after="280"/>
        <w:pBdr>
          <w:bottom w:val="single" w:sz="6" w:space="1" w:color="BFBFBF"/>
        </w:pBdr>
      </w:pPr>
    </w:p>
    <w:p>
      <w:pPr>
        <w:pStyle w:val="Heading2"/>
      </w:pPr>
      <w:r>
        <w:rPr>
          <w:color w:val="1F3A5F"/>
        </w:rPr>
        <w:t>My key vocab list (write 10 design terms you want to remember):</w:t>
      </w:r>
    </w:p>
    <w:p>
      <w:r>
        <w:rPr>
          <w:b w:val="0"/>
        </w:rPr>
        <w:t>1.</w:t>
      </w:r>
    </w:p>
    <w:p>
      <w:r>
        <w:rPr>
          <w:b w:val="0"/>
        </w:rPr>
        <w:t>2.</w:t>
      </w:r>
    </w:p>
    <w:p>
      <w:r>
        <w:rPr>
          <w:b w:val="0"/>
        </w:rPr>
        <w:t>3.</w:t>
      </w:r>
    </w:p>
    <w:p>
      <w:r>
        <w:rPr>
          <w:b w:val="0"/>
        </w:rPr>
        <w:t>4.</w:t>
      </w:r>
    </w:p>
    <w:p>
      <w:r>
        <w:rPr>
          <w:b w:val="0"/>
        </w:rPr>
        <w:t>5.</w:t>
      </w:r>
    </w:p>
    <w:p>
      <w:r>
        <w:rPr>
          <w:b w:val="0"/>
        </w:rPr>
        <w:t>6.</w:t>
      </w:r>
    </w:p>
    <w:p>
      <w:r>
        <w:rPr>
          <w:b w:val="0"/>
        </w:rPr>
        <w:t>7.</w:t>
      </w:r>
    </w:p>
    <w:p>
      <w:r>
        <w:rPr>
          <w:b w:val="0"/>
        </w:rPr>
        <w:t>8.</w:t>
      </w:r>
    </w:p>
    <w:p>
      <w:r>
        <w:rPr>
          <w:b w:val="0"/>
        </w:rPr>
        <w:t>9.</w:t>
      </w:r>
    </w:p>
    <w:p>
      <w:r>
        <w:rPr>
          <w:b w:val="0"/>
        </w:rPr>
        <w:t>10.</w:t>
      </w:r>
    </w:p>
    <w:p/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Unit 3 Workbook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