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Unit 2: Design Contexts and Connections</w:t>
      </w:r>
    </w:p>
    <w:p>
      <w:pPr>
        <w:jc w:val="center"/>
      </w:pPr>
      <w:r>
        <w:rPr>
          <w:b/>
          <w:color w:val="1F3A5F"/>
          <w:sz w:val="26"/>
        </w:rPr>
        <w:t>VCE Visual Communication Design — Year 11</w:t>
      </w:r>
    </w:p>
    <w:p>
      <w:pPr>
        <w:jc w:val="center"/>
      </w:pPr>
      <w:r>
        <w:rPr>
          <w:i/>
          <w:sz w:val="21"/>
        </w:rPr>
        <w:t>Reference Handout — all topics for this unit</w:t>
      </w:r>
    </w:p>
    <w:p/>
    <w:p>
      <w:pPr>
        <w:pStyle w:val="Heading1"/>
      </w:pPr>
      <w:r>
        <w:rPr>
          <w:color w:val="1F3A5F"/>
        </w:rPr>
        <w:t>Contents</w:t>
      </w:r>
    </w:p>
    <w:p>
      <w:pPr>
        <w:pStyle w:val="ListBullet"/>
      </w:pPr>
      <w:r>
        <w:t>Trends in Design</w:t>
      </w:r>
    </w:p>
    <w:p>
      <w:pPr>
        <w:pStyle w:val="ListBullet"/>
      </w:pPr>
      <w:r>
        <w:t>Design &amp; Industry Connections</w:t>
      </w:r>
    </w:p>
    <w:p>
      <w:r>
        <w:br w:type="page"/>
      </w:r>
    </w:p>
    <w:p>
      <w:pPr>
        <w:pStyle w:val="Heading1"/>
      </w:pPr>
      <w:r>
        <w:rPr>
          <w:color w:val="1F3A5F"/>
        </w:rPr>
        <w:t>Trends in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DF3"/>
          </w:tcPr>
          <w:p>
            <w:r>
              <w:rPr>
                <w:b/>
              </w:rPr>
              <w:t>A design trend</w:t>
            </w:r>
            <w:r>
              <w:rPr>
                <w:b w:val="0"/>
              </w:rPr>
              <w:t xml:space="preserve"> is a general direction in which design styles, materials or ideas are developing at a particular time. Trends emerge across all </w:t>
            </w:r>
            <w:r>
              <w:rPr>
                <w:b/>
              </w:rPr>
              <w:t>four design fields</w:t>
            </w:r>
            <w:r>
              <w:rPr>
                <w:b w:val="0"/>
              </w:rPr>
              <w:t xml:space="preserve"> at once and are driven by broader forces in society. A trend is different from a </w:t>
            </w:r>
            <w:r>
              <w:rPr>
                <w:b/>
              </w:rPr>
              <w:t>fad</w:t>
            </w:r>
            <w:r>
              <w:rPr>
                <w:b w:val="0"/>
              </w:rPr>
              <w:t>, which is short-lived and stylistic only.</w:t>
            </w:r>
          </w:p>
        </w:tc>
      </w:tr>
    </w:tbl>
    <w:p/>
    <w:p>
      <w:pPr>
        <w:pStyle w:val="Heading2"/>
      </w:pPr>
      <w:r>
        <w:rPr>
          <w:color w:val="1F3A5F"/>
        </w:rPr>
        <w:t>The 5 Factors that Drive Trends</w:t>
      </w:r>
    </w:p>
    <w:p>
      <w:r>
        <w:rPr>
          <w:b w:val="0"/>
        </w:rPr>
        <w:t>Social</w:t>
      </w:r>
    </w:p>
    <w:p>
      <w:r>
        <w:rPr>
          <w:b w:val="0"/>
        </w:rPr>
        <w:t>Lifestyle, demographics, values</w:t>
      </w:r>
    </w:p>
    <w:p>
      <w:r>
        <w:rPr>
          <w:b w:val="0"/>
        </w:rPr>
        <w:t>Cultural</w:t>
      </w:r>
    </w:p>
    <w:p>
      <w:r>
        <w:rPr>
          <w:b w:val="0"/>
        </w:rPr>
        <w:t>Identity, heritage, globalisation</w:t>
      </w:r>
    </w:p>
    <w:p>
      <w:r>
        <w:rPr>
          <w:b w:val="0"/>
        </w:rPr>
        <w:t>Economic</w:t>
      </w:r>
    </w:p>
    <w:p>
      <w:r>
        <w:rPr>
          <w:b w:val="0"/>
        </w:rPr>
        <w:t>Cost, demand, market conditions</w:t>
      </w:r>
    </w:p>
    <w:p>
      <w:r>
        <w:rPr>
          <w:b w:val="0"/>
        </w:rPr>
        <w:t>Technological</w:t>
      </w:r>
    </w:p>
    <w:p>
      <w:r>
        <w:rPr>
          <w:b w:val="0"/>
        </w:rPr>
        <w:t>New tools, materials, methods</w:t>
      </w:r>
    </w:p>
    <w:p>
      <w:r>
        <w:rPr>
          <w:b w:val="0"/>
        </w:rPr>
        <w:t>Environmental</w:t>
      </w:r>
    </w:p>
    <w:p>
      <w:r>
        <w:rPr>
          <w:b w:val="0"/>
        </w:rPr>
        <w:t>Sustainability, resource pressure</w:t>
      </w:r>
    </w:p>
    <w:p>
      <w:pPr>
        <w:pStyle w:val="Heading2"/>
      </w:pPr>
      <w:r>
        <w:rPr>
          <w:color w:val="1F3A5F"/>
        </w:rPr>
        <w:t>Three Current Design Trends (with examples across fields)</w:t>
      </w:r>
    </w:p>
    <w:p>
      <w:pPr>
        <w:pStyle w:val="Heading2"/>
      </w:pPr>
      <w:r>
        <w:rPr>
          <w:color w:val="1F3A5F"/>
        </w:rPr>
        <w:t>Sustainability</w:t>
      </w:r>
    </w:p>
    <w:p>
      <w:r>
        <w:rPr>
          <w:b w:val="0"/>
        </w:rPr>
        <w:t>Driven by: environmental, social</w:t>
      </w:r>
    </w:p>
    <w:p>
      <w:r>
        <w:rPr>
          <w:b w:val="0"/>
        </w:rPr>
        <w:t>A shift toward materials and processes that minimise environmental impact.</w:t>
      </w:r>
    </w:p>
    <w:p>
      <w:pPr>
        <w:pStyle w:val="ListBullet"/>
      </w:pPr>
      <w:r>
        <w:rPr>
          <w:b/>
        </w:rPr>
        <w:t>Comm:</w:t>
      </w:r>
      <w:r>
        <w:rPr>
          <w:b w:val="0"/>
        </w:rPr>
        <w:t xml:space="preserve"> recycled stock, digital-first</w:t>
      </w:r>
    </w:p>
    <w:p>
      <w:pPr>
        <w:pStyle w:val="ListBullet"/>
      </w:pPr>
      <w:r>
        <w:rPr>
          <w:b/>
        </w:rPr>
        <w:t>Env:</w:t>
      </w:r>
      <w:r>
        <w:rPr>
          <w:b w:val="0"/>
        </w:rPr>
        <w:t xml:space="preserve"> passive solar, green roofs</w:t>
      </w:r>
    </w:p>
    <w:p>
      <w:pPr>
        <w:pStyle w:val="ListBullet"/>
      </w:pPr>
      <w:r>
        <w:rPr>
          <w:b/>
        </w:rPr>
        <w:t>Ind:</w:t>
      </w:r>
      <w:r>
        <w:rPr>
          <w:b w:val="0"/>
        </w:rPr>
        <w:t xml:space="preserve"> biodegradable packaging</w:t>
      </w:r>
    </w:p>
    <w:p>
      <w:pPr>
        <w:pStyle w:val="ListBullet"/>
      </w:pPr>
      <w:r>
        <w:rPr>
          <w:b/>
        </w:rPr>
        <w:t>Int:</w:t>
      </w:r>
      <w:r>
        <w:rPr>
          <w:b w:val="0"/>
        </w:rPr>
        <w:t xml:space="preserve"> dark-mode, low-carbon web</w:t>
      </w:r>
    </w:p>
    <w:p>
      <w:pPr>
        <w:pStyle w:val="Heading2"/>
      </w:pPr>
      <w:r>
        <w:rPr>
          <w:color w:val="1F3A5F"/>
        </w:rPr>
        <w:t>Digital &amp; AI</w:t>
      </w:r>
    </w:p>
    <w:p>
      <w:r>
        <w:rPr>
          <w:b w:val="0"/>
        </w:rPr>
        <w:t>Driven by: technological</w:t>
      </w:r>
    </w:p>
    <w:p>
      <w:r>
        <w:rPr>
          <w:b w:val="0"/>
        </w:rPr>
        <w:t>The rise of AI tools, generative design and immersive technology.</w:t>
      </w:r>
    </w:p>
    <w:p>
      <w:pPr>
        <w:pStyle w:val="ListBullet"/>
      </w:pPr>
      <w:r>
        <w:rPr>
          <w:b/>
        </w:rPr>
        <w:t>Comm:</w:t>
      </w:r>
      <w:r>
        <w:rPr>
          <w:b w:val="0"/>
        </w:rPr>
        <w:t xml:space="preserve"> AI-generated imagery</w:t>
      </w:r>
    </w:p>
    <w:p>
      <w:pPr>
        <w:pStyle w:val="ListBullet"/>
      </w:pPr>
      <w:r>
        <w:rPr>
          <w:b/>
        </w:rPr>
        <w:t>Env:</w:t>
      </w:r>
      <w:r>
        <w:rPr>
          <w:b w:val="0"/>
        </w:rPr>
        <w:t xml:space="preserve"> parametric architecture</w:t>
      </w:r>
    </w:p>
    <w:p>
      <w:pPr>
        <w:pStyle w:val="ListBullet"/>
      </w:pPr>
      <w:r>
        <w:rPr>
          <w:b/>
        </w:rPr>
        <w:t>Ind:</w:t>
      </w:r>
      <w:r>
        <w:rPr>
          <w:b w:val="0"/>
        </w:rPr>
        <w:t xml:space="preserve"> generative product design</w:t>
      </w:r>
    </w:p>
    <w:p>
      <w:pPr>
        <w:pStyle w:val="ListBullet"/>
      </w:pPr>
      <w:r>
        <w:rPr>
          <w:b/>
        </w:rPr>
        <w:t>Int:</w:t>
      </w:r>
      <w:r>
        <w:rPr>
          <w:b w:val="0"/>
        </w:rPr>
        <w:t xml:space="preserve"> AR/VR &amp; voice interfaces</w:t>
      </w:r>
    </w:p>
    <w:p>
      <w:pPr>
        <w:pStyle w:val="Heading2"/>
      </w:pPr>
      <w:r>
        <w:rPr>
          <w:color w:val="1F3A5F"/>
        </w:rPr>
        <w:t>Nostalgia</w:t>
      </w:r>
    </w:p>
    <w:p>
      <w:r>
        <w:rPr>
          <w:b w:val="0"/>
        </w:rPr>
        <w:t>Driven by: cultural, social</w:t>
      </w:r>
    </w:p>
    <w:p>
      <w:r>
        <w:rPr>
          <w:b w:val="0"/>
        </w:rPr>
        <w:t>A return to visual styles from past decades, reinterpreted for today.</w:t>
      </w:r>
    </w:p>
    <w:p>
      <w:pPr>
        <w:pStyle w:val="ListBullet"/>
      </w:pPr>
      <w:r>
        <w:rPr>
          <w:b/>
        </w:rPr>
        <w:t>Comm:</w:t>
      </w:r>
      <w:r>
        <w:rPr>
          <w:b w:val="0"/>
        </w:rPr>
        <w:t xml:space="preserve"> Y2K type &amp; palettes</w:t>
      </w:r>
    </w:p>
    <w:p>
      <w:pPr>
        <w:pStyle w:val="ListBullet"/>
      </w:pPr>
      <w:r>
        <w:rPr>
          <w:b/>
        </w:rPr>
        <w:t>Env:</w:t>
      </w:r>
      <w:r>
        <w:rPr>
          <w:b w:val="0"/>
        </w:rPr>
        <w:t xml:space="preserve"> mid-century interiors</w:t>
      </w:r>
    </w:p>
    <w:p>
      <w:pPr>
        <w:pStyle w:val="ListBullet"/>
      </w:pPr>
      <w:r>
        <w:rPr>
          <w:b/>
        </w:rPr>
        <w:t>Ind:</w:t>
      </w:r>
      <w:r>
        <w:rPr>
          <w:b w:val="0"/>
        </w:rPr>
        <w:t xml:space="preserve"> retro-styled products</w:t>
      </w:r>
    </w:p>
    <w:p>
      <w:pPr>
        <w:pStyle w:val="ListBullet"/>
      </w:pPr>
      <w:r>
        <w:rPr>
          <w:b/>
        </w:rPr>
        <w:t>Int:</w:t>
      </w:r>
      <w:r>
        <w:rPr>
          <w:b w:val="0"/>
        </w:rPr>
        <w:t xml:space="preserve"> skeuomorphic UI</w:t>
      </w:r>
    </w:p>
    <w:p>
      <w:pPr>
        <w:pStyle w:val="Heading2"/>
      </w:pPr>
      <w:r>
        <w:rPr>
          <w:color w:val="1F3A5F"/>
        </w:rPr>
        <w:t>Trend vs Fad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/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Trend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Fad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Develops over years, reflects deeper shifts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Short-lived, often gone within a season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Social, cultural, economic, technological or environmental factors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Novelty, media hype, celebrity influence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Appears across multiple design fields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Usually confined to one product or style</w:t>
            </w:r>
          </w:p>
        </w:tc>
      </w:tr>
    </w:tbl>
    <w:p/>
    <w:p>
      <w:pPr>
        <w:pStyle w:val="Heading2"/>
      </w:pPr>
      <w:r>
        <w:rPr>
          <w:color w:val="1F3A5F"/>
        </w:rPr>
        <w:t>Exam Sentence Starters</w:t>
      </w:r>
    </w:p>
    <w:p>
      <w:r>
        <w:rPr>
          <w:b w:val="0"/>
        </w:rPr>
        <w:t xml:space="preserve">"This trend is driven primarily by </w:t>
      </w:r>
      <w:r>
        <w:rPr>
          <w:b w:val="0"/>
          <w:i/>
        </w:rPr>
        <w:t>[factor]</w:t>
      </w:r>
      <w:r>
        <w:rPr>
          <w:b w:val="0"/>
        </w:rPr>
        <w:t xml:space="preserve"> because..."</w:t>
      </w:r>
    </w:p>
    <w:p>
      <w:r>
        <w:rPr>
          <w:b w:val="0"/>
        </w:rPr>
        <w:t>"In [design field], this trend manifests as..."</w:t>
      </w:r>
    </w:p>
    <w:p>
      <w:r>
        <w:rPr>
          <w:b w:val="0"/>
        </w:rPr>
        <w:t>"Compared to [earlier trend], this reflects a shift toward..."</w:t>
      </w:r>
    </w:p>
    <w:p>
      <w:r>
        <w:rPr>
          <w:b w:val="0"/>
        </w:rPr>
        <w:t>"This is likely to continue/fade because..."</w:t>
      </w:r>
    </w:p>
    <w:p>
      <w:r>
        <w:br w:type="page"/>
      </w:r>
    </w:p>
    <w:p>
      <w:pPr>
        <w:pStyle w:val="Heading1"/>
      </w:pPr>
      <w:r>
        <w:rPr>
          <w:color w:val="1F3A5F"/>
        </w:rPr>
        <w:t>Design &amp; Industry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DF3"/>
          </w:tcPr>
          <w:p>
            <w:r>
              <w:rPr>
                <w:b w:val="0"/>
              </w:rPr>
              <w:t xml:space="preserve">Real design projects rarely sit inside a single field. Designers </w:t>
            </w:r>
            <w:r>
              <w:rPr>
                <w:b/>
              </w:rPr>
              <w:t>collaborate</w:t>
            </w:r>
            <w:r>
              <w:rPr>
                <w:b w:val="0"/>
              </w:rPr>
              <w:t xml:space="preserve"> with clients, manufacturers, other designers and tradespeople, and work within broader industry factors such as sustainability, technology, ethics and intellectual property (IP) law.</w:t>
            </w:r>
          </w:p>
        </w:tc>
      </w:tr>
    </w:tbl>
    <w:p/>
    <w:p>
      <w:pPr>
        <w:pStyle w:val="Heading2"/>
      </w:pPr>
      <w:r>
        <w:rPr>
          <w:color w:val="1F3A5F"/>
        </w:rPr>
        <w:t>Who Designers Collaborate With</w:t>
      </w:r>
    </w:p>
    <w:p>
      <w:pPr>
        <w:pStyle w:val="Heading2"/>
      </w:pPr>
      <w:r>
        <w:rPr>
          <w:color w:val="1F3A5F"/>
        </w:rPr>
        <w:t>Clients</w:t>
      </w:r>
    </w:p>
    <w:p>
      <w:r>
        <w:rPr>
          <w:b w:val="0"/>
        </w:rPr>
        <w:t>Provide the design brief, approve directions, and fund the project. The designer must balance the client's goals with the audience's needs.</w:t>
      </w:r>
    </w:p>
    <w:p>
      <w:pPr>
        <w:pStyle w:val="Heading2"/>
      </w:pPr>
      <w:r>
        <w:rPr>
          <w:color w:val="1F3A5F"/>
        </w:rPr>
        <w:t>Manufacturers &amp; Builders</w:t>
      </w:r>
    </w:p>
    <w:p>
      <w:r>
        <w:rPr>
          <w:b w:val="0"/>
        </w:rPr>
        <w:t>Turn a design into physical reality — printers, factories, construction trades. Their capabilities and constraints shape what's possible.</w:t>
      </w:r>
    </w:p>
    <w:p>
      <w:pPr>
        <w:pStyle w:val="Heading2"/>
      </w:pPr>
      <w:r>
        <w:rPr>
          <w:color w:val="1F3A5F"/>
        </w:rPr>
        <w:t>Other Designers</w:t>
      </w:r>
    </w:p>
    <w:p>
      <w:r>
        <w:rPr>
          <w:b w:val="0"/>
        </w:rPr>
        <w:t>A single project often needs several specialists, e.g. a graphic designer working alongside a UX/interaction designer or architect.</w:t>
      </w:r>
    </w:p>
    <w:p>
      <w:pPr>
        <w:pStyle w:val="Heading2"/>
      </w:pPr>
      <w:r>
        <w:rPr>
          <w:color w:val="1F3A5F"/>
        </w:rPr>
        <w:t>Marketing &amp; Developers</w:t>
      </w:r>
    </w:p>
    <w:p>
      <w:r>
        <w:rPr>
          <w:b w:val="0"/>
        </w:rPr>
        <w:t>Deliver the finished design to its final audience — through campaigns, code, packaging, or distribution.</w:t>
      </w:r>
    </w:p>
    <w:p>
      <w:pPr>
        <w:pStyle w:val="Heading2"/>
      </w:pPr>
      <w:r>
        <w:rPr>
          <w:color w:val="1F3A5F"/>
        </w:rPr>
        <w:t>Factors Shaping Industry Practice</w:t>
      </w:r>
    </w:p>
    <w:p>
      <w:r>
        <w:rPr>
          <w:b w:val="0"/>
        </w:rPr>
        <w:t xml:space="preserve"> Sustainability</w:t>
      </w:r>
    </w:p>
    <w:p>
      <w:r>
        <w:rPr>
          <w:b w:val="0"/>
        </w:rPr>
        <w:t>Materials, energy use, waste and end-of-life disposal are now standard client requirements.</w:t>
      </w:r>
    </w:p>
    <w:p>
      <w:r>
        <w:rPr>
          <w:b w:val="0"/>
        </w:rPr>
        <w:t xml:space="preserve"> Technology</w:t>
      </w:r>
    </w:p>
    <w:p>
      <w:r>
        <w:rPr>
          <w:b w:val="0"/>
        </w:rPr>
        <w:t>New software, materials and manufacturing methods change what's possible and expected.</w:t>
      </w:r>
    </w:p>
    <w:p>
      <w:r>
        <w:rPr>
          <w:b w:val="0"/>
        </w:rPr>
        <w:t xml:space="preserve"> Ethics</w:t>
      </w:r>
    </w:p>
    <w:p>
      <w:r>
        <w:rPr>
          <w:b w:val="0"/>
        </w:rPr>
        <w:t>Fair labour, honest advertising, accessibility and inclusive design are professional expectations.</w:t>
      </w:r>
    </w:p>
    <w:p>
      <w:r>
        <w:rPr>
          <w:b w:val="0"/>
        </w:rPr>
        <w:t>© Intellectual Property</w:t>
      </w:r>
    </w:p>
    <w:p>
      <w:r>
        <w:rPr>
          <w:b w:val="0"/>
        </w:rPr>
        <w:t>Copyright, trademarks and licensing protect original design work from unauthorised copying.</w:t>
      </w:r>
    </w:p>
    <w:p>
      <w:pPr>
        <w:pStyle w:val="Heading2"/>
      </w:pPr>
      <w:r>
        <w:rPr>
          <w:color w:val="1F3A5F"/>
        </w:rPr>
        <w:t>Intellectual Property (IP) — Key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Protects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Copyright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Original creative works (automatic, no registration needed)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An illustration, photograph, layout or piece of writing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Trademark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Brand names, logos and slogans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A company logo or tagline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Design registration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The visual appearance of a manufactured product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The shape of a chair or bottle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Patent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A new invention or functional process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A new mechanism or manufacturing method</w:t>
            </w:r>
          </w:p>
        </w:tc>
      </w:tr>
    </w:tbl>
    <w:p/>
    <w:p>
      <w:pPr>
        <w:pStyle w:val="Heading2"/>
      </w:pPr>
      <w:r>
        <w:rPr>
          <w:color w:val="1F3A5F"/>
        </w:rPr>
        <w:t>Exam Sentence Starters</w:t>
      </w:r>
    </w:p>
    <w:p>
      <w:r>
        <w:rPr>
          <w:b w:val="0"/>
        </w:rPr>
        <w:t xml:space="preserve">"This project connects </w:t>
      </w:r>
      <w:r>
        <w:rPr>
          <w:b w:val="0"/>
          <w:i/>
        </w:rPr>
        <w:t>[field A]</w:t>
      </w:r>
      <w:r>
        <w:rPr>
          <w:b w:val="0"/>
        </w:rPr>
        <w:t xml:space="preserve"> and </w:t>
      </w:r>
      <w:r>
        <w:rPr>
          <w:b w:val="0"/>
          <w:i/>
        </w:rPr>
        <w:t>[field B]</w:t>
      </w:r>
      <w:r>
        <w:rPr>
          <w:b w:val="0"/>
        </w:rPr>
        <w:t xml:space="preserve"> because..."</w:t>
      </w:r>
    </w:p>
    <w:p>
      <w:r>
        <w:rPr>
          <w:b w:val="0"/>
        </w:rPr>
        <w:t xml:space="preserve">"The designer collaborated with </w:t>
      </w:r>
      <w:r>
        <w:rPr>
          <w:b w:val="0"/>
          <w:i/>
        </w:rPr>
        <w:t>[role]</w:t>
      </w:r>
      <w:r>
        <w:rPr>
          <w:b w:val="0"/>
        </w:rPr>
        <w:t xml:space="preserve"> to..."</w:t>
      </w:r>
    </w:p>
    <w:p>
      <w:r>
        <w:rPr>
          <w:b w:val="0"/>
        </w:rPr>
        <w:t xml:space="preserve">"This decision reflects growing industry concern for </w:t>
      </w:r>
      <w:r>
        <w:rPr>
          <w:b w:val="0"/>
          <w:i/>
        </w:rPr>
        <w:t>[factor]</w:t>
      </w:r>
      <w:r>
        <w:rPr>
          <w:b w:val="0"/>
        </w:rPr>
        <w:t>..."</w:t>
      </w:r>
    </w:p>
    <w:p>
      <w:r>
        <w:rPr>
          <w:b w:val="0"/>
        </w:rPr>
        <w:t xml:space="preserve">"Without protection of </w:t>
      </w:r>
      <w:r>
        <w:rPr>
          <w:b w:val="0"/>
          <w:i/>
        </w:rPr>
        <w:t>[IP type]</w:t>
      </w:r>
      <w:r>
        <w:rPr>
          <w:b w:val="0"/>
        </w:rPr>
        <w:t>, this design could be..."</w:t>
      </w:r>
    </w:p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Unit 2 Handout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