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A5F"/>
        </w:rPr>
        <w:t>Unit 3: Reconceptualisation and Reinvention</w:t>
      </w:r>
    </w:p>
    <w:p>
      <w:pPr>
        <w:jc w:val="center"/>
      </w:pPr>
      <w:r>
        <w:rPr>
          <w:b/>
          <w:color w:val="1F3A5F"/>
          <w:sz w:val="26"/>
        </w:rPr>
        <w:t>VCE Visual Communication Design — Year 12</w:t>
      </w:r>
    </w:p>
    <w:p>
      <w:pPr>
        <w:jc w:val="center"/>
      </w:pPr>
      <w:r>
        <w:rPr>
          <w:i/>
          <w:sz w:val="21"/>
        </w:rPr>
        <w:t>SAC Pack — Outcomes, Task, Conditions &amp; Criteria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3E2"/>
          </w:tcPr>
          <w:p>
            <w:r>
              <w:rPr>
                <w:i/>
                <w:color w:val="B45309"/>
                <w:sz w:val="18"/>
              </w:rPr>
              <w:t>Draft SAC material written to support this resource -- not sourced from or endorsed by VCAA. Outcome wording, key knowledge/skills, task design, conditions and criteria must be checked against the current VCAA VCD Study Design and ratified through your school's SAC/assessment approval process before being used for a School-Assessed Coursework result.</w:t>
            </w:r>
          </w:p>
        </w:tc>
      </w:tr>
    </w:tbl>
    <w:p/>
    <w:p>
      <w:pPr>
        <w:pStyle w:val="Heading1"/>
      </w:pPr>
      <w:r>
        <w:rPr>
          <w:color w:val="1F3A5F"/>
        </w:rPr>
        <w:t>Outcome 1 (AOS 1) — Analysis and Reinterpretation</w:t>
      </w:r>
    </w:p>
    <w:p>
      <w:r>
        <w:rPr>
          <w:i/>
        </w:rPr>
        <w:t>On completion of this unit the student should be able to analyse an existing visual communication and reinterpret it for a new context, audience or purpose.</w:t>
      </w:r>
    </w:p>
    <w:p>
      <w:pPr>
        <w:pStyle w:val="Heading2"/>
      </w:pPr>
      <w:r>
        <w:rPr>
          <w:color w:val="1F3A5F"/>
        </w:rPr>
        <w:t>Key Knowledge (draft)</w:t>
      </w:r>
    </w:p>
    <w:p>
      <w:pPr>
        <w:pStyle w:val="ListBullet"/>
      </w:pPr>
      <w:r>
        <w:t>A framework for analysing an existing design (purpose/audience, elements/principles, materials/methods, context)</w:t>
      </w:r>
    </w:p>
    <w:p>
      <w:pPr>
        <w:pStyle w:val="ListBullet"/>
      </w:pPr>
      <w:r>
        <w:t>The distinction between reconceptualisation and reinvention</w:t>
      </w:r>
    </w:p>
    <w:p>
      <w:pPr>
        <w:pStyle w:val="ListBullet"/>
      </w:pPr>
      <w:r>
        <w:t>Methods of reinterpretation (change audience, field, era/style, medium)</w:t>
      </w:r>
    </w:p>
    <w:p>
      <w:pPr>
        <w:pStyle w:val="Heading2"/>
      </w:pPr>
      <w:r>
        <w:rPr>
          <w:color w:val="1F3A5F"/>
        </w:rPr>
        <w:t>Key Skills (draft)</w:t>
      </w:r>
    </w:p>
    <w:p>
      <w:pPr>
        <w:pStyle w:val="ListBullet"/>
      </w:pPr>
      <w:r>
        <w:t>Analyse an existing design in depth with specific visual evidence</w:t>
      </w:r>
    </w:p>
    <w:p>
      <w:pPr>
        <w:pStyle w:val="ListBullet"/>
      </w:pPr>
      <w:r>
        <w:t>Propose and justify a reinterpretation for a new context</w:t>
      </w:r>
    </w:p>
    <w:p>
      <w:pPr>
        <w:pStyle w:val="Heading2"/>
      </w:pPr>
      <w:r>
        <w:rPr>
          <w:color w:val="1F3A5F"/>
        </w:rPr>
        <w:t>SAC Task</w:t>
      </w:r>
    </w:p>
    <w:p>
      <w:r>
        <w:t>Select an existing visual communication. Analyse it in depth (purpose, audience, elements and principles, materials and methods, context), then propose a reconceptualisation or reinvention for a new audience or context, justifying the approach in an annotated visual submission with a supporting written justification of approximately 400-600 words.</w:t>
      </w:r>
    </w:p>
    <w:p>
      <w:pPr>
        <w:pStyle w:val="Heading2"/>
      </w:pPr>
      <w:r>
        <w:rPr>
          <w:color w:val="1F3A5F"/>
        </w:rPr>
        <w:t>Conditions</w:t>
      </w:r>
    </w:p>
    <w:p>
      <w:pPr>
        <w:pStyle w:val="ListBullet"/>
      </w:pPr>
      <w:r>
        <w:t>Completed over approximately 2-3 weeks</w:t>
      </w:r>
    </w:p>
    <w:p>
      <w:pPr>
        <w:pStyle w:val="ListBullet"/>
      </w:pPr>
      <w:r>
        <w:t>Submitted as folio pages (visual and annotation) plus a short written justification</w:t>
      </w:r>
    </w:p>
    <w:p>
      <w:pPr>
        <w:pStyle w:val="ListBullet"/>
      </w:pPr>
      <w:r>
        <w:t>Individual work</w:t>
      </w:r>
    </w:p>
    <w:p>
      <w:pPr>
        <w:pStyle w:val="Heading2"/>
      </w:pPr>
      <w:r>
        <w:rPr>
          <w:color w:val="1F3A5F"/>
        </w:rPr>
        <w:t>Assessment Criteria (draft, /40)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87"/>
        <w:gridCol w:w="1417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7087"/>
          </w:tcPr>
          <w:p>
            <w:r>
              <w:t>Depth of analysis of the original design</w:t>
            </w:r>
          </w:p>
        </w:tc>
        <w:tc>
          <w:tcPr>
            <w:tcW w:type="dxa" w:w="1417"/>
          </w:tcPr>
          <w:p>
            <w:r>
              <w:t>15</w:t>
            </w:r>
          </w:p>
        </w:tc>
      </w:tr>
      <w:tr>
        <w:tc>
          <w:tcPr>
            <w:tcW w:type="dxa" w:w="7087"/>
          </w:tcPr>
          <w:p>
            <w:r>
              <w:t>Quality and originality of the reinterpretation proposal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7087"/>
          </w:tcPr>
          <w:p>
            <w:r>
              <w:t>Justification and links to the new context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7087"/>
          </w:tcPr>
          <w:p>
            <w:r>
              <w:t>Presentation of folio pages</w:t>
            </w:r>
          </w:p>
        </w:tc>
        <w:tc>
          <w:tcPr>
            <w:tcW w:type="dxa" w:w="1417"/>
          </w:tcPr>
          <w:p>
            <w:r>
              <w:t>5</w:t>
            </w:r>
          </w:p>
        </w:tc>
      </w:tr>
      <w:tr>
        <w:tc>
          <w:tcPr>
            <w:tcW w:type="dxa" w:w="708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17"/>
          </w:tcPr>
          <w:p>
            <w:r>
              <w:rPr>
                <w:b/>
              </w:rPr>
              <w:t>40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Outcome 2 (AOS 2) — The Brief and Range of Ideas</w:t>
      </w:r>
    </w:p>
    <w:p>
      <w:r>
        <w:rPr>
          <w:i/>
        </w:rPr>
        <w:t>On completion of this unit the student should be able to develop a brief and generate a range of ideas leading to two distinct concepts in response to it.</w:t>
      </w:r>
    </w:p>
    <w:p>
      <w:pPr>
        <w:pStyle w:val="Heading2"/>
      </w:pPr>
      <w:r>
        <w:rPr>
          <w:color w:val="1F3A5F"/>
        </w:rPr>
        <w:t>Key Knowledge (draft)</w:t>
      </w:r>
    </w:p>
    <w:p>
      <w:pPr>
        <w:pStyle w:val="ListBullet"/>
      </w:pPr>
      <w:r>
        <w:t>The components of a design brief (client, audience, purpose, constraints, obligatory fields)</w:t>
      </w:r>
    </w:p>
    <w:p>
      <w:pPr>
        <w:pStyle w:val="ListBullet"/>
      </w:pPr>
      <w:r>
        <w:t>Research methods to support ideation (audience, visual, contextual)</w:t>
      </w:r>
    </w:p>
    <w:p>
      <w:pPr>
        <w:pStyle w:val="ListBullet"/>
      </w:pPr>
      <w:r>
        <w:t>What makes two concepts genuinely distinct</w:t>
      </w:r>
    </w:p>
    <w:p>
      <w:pPr>
        <w:pStyle w:val="Heading2"/>
      </w:pPr>
      <w:r>
        <w:rPr>
          <w:color w:val="1F3A5F"/>
        </w:rPr>
        <w:t>Key Skills (draft)</w:t>
      </w:r>
    </w:p>
    <w:p>
      <w:pPr>
        <w:pStyle w:val="ListBullet"/>
      </w:pPr>
      <w:r>
        <w:t>Write a design brief informed by the Unit 3 AOS1 analysis</w:t>
      </w:r>
    </w:p>
    <w:p>
      <w:pPr>
        <w:pStyle w:val="ListBullet"/>
      </w:pPr>
      <w:r>
        <w:t>Undertake relevant research</w:t>
      </w:r>
    </w:p>
    <w:p>
      <w:pPr>
        <w:pStyle w:val="ListBullet"/>
      </w:pPr>
      <w:r>
        <w:t>Generate a wide range of ideas and develop two genuinely distinct concepts with annotation</w:t>
      </w:r>
    </w:p>
    <w:p>
      <w:pPr>
        <w:pStyle w:val="Heading2"/>
      </w:pPr>
      <w:r>
        <w:rPr>
          <w:color w:val="1F3A5F"/>
        </w:rPr>
        <w:t>SAC Task</w:t>
      </w:r>
    </w:p>
    <w:p>
      <w:r>
        <w:t>Write a design brief (informed by your Unit 3 AOS1 analysis and reinterpretation) and generate a wide range of ideas leading to two distinct concepts. Submit: the written brief, research documentation, generation of ideas (minimum 15 thumbnails/concepts), and two developed, distinct concepts with annotations.</w:t>
      </w:r>
    </w:p>
    <w:p>
      <w:pPr>
        <w:pStyle w:val="Heading2"/>
      </w:pPr>
      <w:r>
        <w:rPr>
          <w:color w:val="1F3A5F"/>
        </w:rPr>
        <w:t>Conditions</w:t>
      </w:r>
    </w:p>
    <w:p>
      <w:pPr>
        <w:pStyle w:val="ListBullet"/>
      </w:pPr>
      <w:r>
        <w:t>Completed over approximately 5-6 weeks — typically the largest SAC of the year</w:t>
      </w:r>
    </w:p>
    <w:p>
      <w:pPr>
        <w:pStyle w:val="ListBullet"/>
      </w:pPr>
      <w:r>
        <w:t>Folio submission</w:t>
      </w:r>
    </w:p>
    <w:p>
      <w:pPr>
        <w:pStyle w:val="ListBullet"/>
      </w:pPr>
      <w:r>
        <w:t>Individual work</w:t>
      </w:r>
    </w:p>
    <w:p>
      <w:pPr>
        <w:pStyle w:val="Heading2"/>
      </w:pPr>
      <w:r>
        <w:rPr>
          <w:color w:val="1F3A5F"/>
        </w:rPr>
        <w:t>Assessment Criteria (draft, /70)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087"/>
        <w:gridCol w:w="1417"/>
      </w:tblGrid>
      <w:tr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Criterion</w:t>
            </w:r>
          </w:p>
        </w:tc>
        <w:tc>
          <w:tcPr>
            <w:tcW w:type="dxa" w:w="4986"/>
            <w:shd w:val="clear" w:color="auto" w:fill="1F3A5F"/>
          </w:tcPr>
          <w:p>
            <w:r/>
            <w:r>
              <w:rPr>
                <w:b/>
                <w:color w:val="FFFFFF"/>
              </w:rPr>
              <w:t>Marks</w:t>
            </w:r>
          </w:p>
        </w:tc>
      </w:tr>
      <w:tr>
        <w:tc>
          <w:tcPr>
            <w:tcW w:type="dxa" w:w="7087"/>
          </w:tcPr>
          <w:p>
            <w:r>
              <w:t>Quality and clarity of the brief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7087"/>
          </w:tcPr>
          <w:p>
            <w:r>
              <w:t>Relevance of research</w:t>
            </w:r>
          </w:p>
        </w:tc>
        <w:tc>
          <w:tcPr>
            <w:tcW w:type="dxa" w:w="1417"/>
          </w:tcPr>
          <w:p>
            <w:r>
              <w:t>10</w:t>
            </w:r>
          </w:p>
        </w:tc>
      </w:tr>
      <w:tr>
        <w:tc>
          <w:tcPr>
            <w:tcW w:type="dxa" w:w="7087"/>
          </w:tcPr>
          <w:p>
            <w:r>
              <w:t>Range and quantity of ideas generated</w:t>
            </w:r>
          </w:p>
        </w:tc>
        <w:tc>
          <w:tcPr>
            <w:tcW w:type="dxa" w:w="1417"/>
          </w:tcPr>
          <w:p>
            <w:r>
              <w:t>15</w:t>
            </w:r>
          </w:p>
        </w:tc>
      </w:tr>
      <w:tr>
        <w:tc>
          <w:tcPr>
            <w:tcW w:type="dxa" w:w="7087"/>
          </w:tcPr>
          <w:p>
            <w:r>
              <w:t>Distinctiveness and quality of the two concepts</w:t>
            </w:r>
          </w:p>
        </w:tc>
        <w:tc>
          <w:tcPr>
            <w:tcW w:type="dxa" w:w="1417"/>
          </w:tcPr>
          <w:p>
            <w:r>
              <w:t>20</w:t>
            </w:r>
          </w:p>
        </w:tc>
      </w:tr>
      <w:tr>
        <w:tc>
          <w:tcPr>
            <w:tcW w:type="dxa" w:w="7087"/>
          </w:tcPr>
          <w:p>
            <w:r>
              <w:t>Annotation and documentation of design thinking</w:t>
            </w:r>
          </w:p>
        </w:tc>
        <w:tc>
          <w:tcPr>
            <w:tcW w:type="dxa" w:w="1417"/>
          </w:tcPr>
          <w:p>
            <w:r>
              <w:t>15</w:t>
            </w:r>
          </w:p>
        </w:tc>
      </w:tr>
      <w:tr>
        <w:tc>
          <w:tcPr>
            <w:tcW w:type="dxa" w:w="7087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17"/>
          </w:tcPr>
          <w:p>
            <w:r>
              <w:rPr>
                <w:b/>
              </w:rPr>
              <w:t>70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Authentication</w:t>
      </w:r>
    </w:p>
    <w:p>
      <w:pPr>
        <w:pStyle w:val="ListBullet"/>
      </w:pPr>
      <w:r>
        <w:t>Students sign an authentication record confirming the submitted work is their own.</w:t>
      </w:r>
    </w:p>
    <w:p>
      <w:pPr>
        <w:pStyle w:val="ListBullet"/>
      </w:pPr>
      <w:r>
        <w:t>Significant work is completed under supervised conditions in class wherever practical.</w:t>
      </w:r>
    </w:p>
    <w:p>
      <w:pPr>
        <w:pStyle w:val="ListBullet"/>
      </w:pPr>
      <w:r>
        <w:t>Keep dated drafts/process evidence (sketches, research, teacher check-ins) to support authentication if a student is absent for part of the task or work is challenged.</w:t>
      </w:r>
    </w:p>
    <w:p>
      <w:pPr>
        <w:pStyle w:val="ListBullet"/>
      </w:pPr>
      <w:r>
        <w:t>Follow your school's policy for redemption/resubmission and for students absent for a scheduled SAC.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Unit 3 SAC Pack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