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1: Finding Design Solutions</w:t>
      </w:r>
    </w:p>
    <w:p>
      <w:pPr>
        <w:jc w:val="center"/>
      </w:pPr>
      <w:r>
        <w:rPr>
          <w:b/>
          <w:color w:val="1F3A5F"/>
          <w:sz w:val="26"/>
        </w:rPr>
        <w:t>VCE Visual Communication Design — Year 11</w:t>
      </w:r>
    </w:p>
    <w:p>
      <w:pPr>
        <w:jc w:val="center"/>
      </w:pPr>
      <w:r>
        <w:rPr>
          <w:i/>
          <w:sz w:val="21"/>
        </w:rPr>
        <w:t>Extended Design Knowledge — beyond the study design</w:t>
      </w:r>
    </w:p>
    <w:p/>
    <w:tbl>
      <w:tblPr>
        <w:tblStyle w:val="TableGrid"/>
        <w:tblW w:type="auto" w:w="0"/>
        <w:tblLook w:firstColumn="1" w:firstRow="1" w:lastColumn="0" w:lastRow="0" w:noHBand="0" w:noVBand="1" w:val="04A0"/>
      </w:tblPr>
      <w:tblGrid>
        <w:gridCol w:w="9972"/>
      </w:tblGrid>
      <w:tr>
        <w:tc>
          <w:tcPr>
            <w:tcW w:type="dxa" w:w="9972"/>
            <w:shd w:val="clear" w:color="auto" w:fill="FEF3E2"/>
          </w:tcPr>
          <w:p>
            <w:r>
              <w:rPr>
                <w:i/>
                <w:color w:val="B45309"/>
                <w:sz w:val="18"/>
              </w:rPr>
              <w:t>Enrichment material for stronger analysis, broader design literacy and folio quality. Not required by the VCAA study design and not directly examinable, but strengthens the depth and sophistication of exam responses and folio annotations.</w:t>
            </w:r>
          </w:p>
        </w:tc>
      </w:tr>
    </w:tbl>
    <w:p/>
    <w:p>
      <w:pPr>
        <w:pStyle w:val="Heading1"/>
      </w:pPr>
      <w:r>
        <w:rPr>
          <w:color w:val="1F3A5F"/>
        </w:rPr>
        <w:t>Colour Psychology and Cultural Meaning</w:t>
      </w:r>
    </w:p>
    <w:p>
      <w:pPr>
        <w:pStyle w:val="Heading2"/>
      </w:pPr>
      <w:r>
        <w:rPr>
          <w:color w:val="1F3A5F"/>
        </w:rPr>
        <w:t>Psychological associations</w:t>
      </w:r>
    </w:p>
    <w:p>
      <w:pPr>
        <w:pStyle w:val="ListBullet"/>
      </w:pPr>
      <w:r>
        <w:t>Red — urgency, passion, appetite, danger</w:t>
      </w:r>
    </w:p>
    <w:p>
      <w:pPr>
        <w:pStyle w:val="ListBullet"/>
      </w:pPr>
      <w:r>
        <w:t>Blue — trust, calm, corporate stability</w:t>
      </w:r>
    </w:p>
    <w:p>
      <w:pPr>
        <w:pStyle w:val="ListBullet"/>
      </w:pPr>
      <w:r>
        <w:t>Yellow — optimism, caution, attention-grabbing</w:t>
      </w:r>
    </w:p>
    <w:p>
      <w:pPr>
        <w:pStyle w:val="ListBullet"/>
      </w:pPr>
      <w:r>
        <w:t>Green — growth, health, sustainability</w:t>
      </w:r>
    </w:p>
    <w:p>
      <w:pPr>
        <w:pStyle w:val="ListBullet"/>
      </w:pPr>
      <w:r>
        <w:t>Black — luxury, sophistication, or mourning depending on context</w:t>
      </w:r>
    </w:p>
    <w:p>
      <w:pPr>
        <w:pStyle w:val="Heading2"/>
      </w:pPr>
      <w:r>
        <w:rPr>
          <w:color w:val="1F3A5F"/>
        </w:rPr>
        <w:t>Cultural variation</w:t>
      </w:r>
    </w:p>
    <w:p>
      <w:r>
        <w:t>Colour meaning is not universal. White signals purity and weddings in many Western contexts but mourning in parts of East Asia. Red is associated with luck and celebration in Chinese culture but can signal danger elsewhere. Always consider a design's target market and cultural context before assuming a colour's meaning is fixed.</w:t>
      </w:r>
    </w:p>
    <w:p>
      <w:pPr>
        <w:pStyle w:val="Heading2"/>
      </w:pPr>
      <w:r>
        <w:rPr>
          <w:color w:val="1F3A5F"/>
        </w:rPr>
        <w:t>Colour accessibility</w:t>
      </w:r>
    </w:p>
    <w:p>
      <w:pPr>
        <w:pStyle w:val="ListBullet"/>
      </w:pPr>
      <w:r>
        <w:t>Approximately 1 in 12 men and 1 in 200 women have some form of colour vision deficiency</w:t>
      </w:r>
    </w:p>
    <w:p>
      <w:pPr>
        <w:pStyle w:val="ListBullet"/>
      </w:pPr>
      <w:r>
        <w:t>Never rely on colour alone to convey information — pair colour with text, icons or patterns</w:t>
      </w:r>
    </w:p>
    <w:p>
      <w:pPr>
        <w:pStyle w:val="ListBullet"/>
      </w:pPr>
      <w:r>
        <w:t>Check contrast ratios for text on coloured backgrounds (WCAG guidelines recommend a minimum contrast ratio of 4.5:1 for standard body text)</w:t>
      </w:r>
    </w:p>
    <w:p>
      <w:pPr>
        <w:pStyle w:val="Heading1"/>
      </w:pPr>
      <w:r>
        <w:rPr>
          <w:color w:val="1F3A5F"/>
        </w:rPr>
        <w:t>Visual Perception Beyond the VCAA Gestalt Principles</w:t>
      </w:r>
    </w:p>
    <w:p>
      <w:pPr>
        <w:pStyle w:val="Heading2"/>
      </w:pPr>
      <w:r>
        <w:rPr>
          <w:color w:val="1F3A5F"/>
        </w:rPr>
        <w:t>Origins of Gestalt psychology</w:t>
      </w:r>
    </w:p>
    <w:p>
      <w:r>
        <w:t>Gestalt theory originated with German psychologists Max Wertheimer, Kurt Koffka and Wolfgang Köhler in the early 20th century, who argued the mind perceives whole patterns and configurations rather than isolated parts — summarised by the phrase 'the whole is greater than the sum of its parts'.</w:t>
      </w:r>
    </w:p>
    <w:p>
      <w:pPr>
        <w:pStyle w:val="Heading2"/>
      </w:pPr>
      <w:r>
        <w:rPr>
          <w:color w:val="1F3A5F"/>
        </w:rPr>
        <w:t>Related principles worth knowing (not VCAA-examinable)</w:t>
      </w:r>
    </w:p>
    <w:p>
      <w:pPr>
        <w:pStyle w:val="ListBullet"/>
      </w:pPr>
      <w:r>
        <w:t>Common Fate — elements moving in the same direction are perceived as a group</w:t>
      </w:r>
    </w:p>
    <w:p>
      <w:pPr>
        <w:pStyle w:val="ListBullet"/>
      </w:pPr>
      <w:r>
        <w:t>Symmetry — symmetrical elements are perceived as belonging together, even across a distance</w:t>
      </w:r>
    </w:p>
    <w:p>
      <w:pPr>
        <w:pStyle w:val="ListBullet"/>
      </w:pPr>
      <w:r>
        <w:t>Common Region — elements sharing an enclosed area are perceived as grouped</w:t>
      </w:r>
    </w:p>
    <w:p>
      <w:pPr>
        <w:pStyle w:val="Heading1"/>
      </w:pPr>
      <w:r>
        <w:rPr>
          <w:color w:val="1F3A5F"/>
        </w:rPr>
        <w:t>Typography Deep Dive</w:t>
      </w:r>
    </w:p>
    <w:p>
      <w:pPr>
        <w:pStyle w:val="Heading2"/>
      </w:pPr>
      <w:r>
        <w:rPr>
          <w:color w:val="1F3A5F"/>
        </w:rPr>
        <w:t>Legibility vs readability</w:t>
      </w:r>
    </w:p>
    <w:p>
      <w:r>
        <w:t>Legibility is about how easily individual letterforms can be distinguished from each other. Readability is about how easily a whole passage of text can be read — affected by line length, leading, and spacing, not just typeface choice.</w:t>
      </w:r>
    </w:p>
    <w:p>
      <w:pPr>
        <w:pStyle w:val="Heading2"/>
      </w:pPr>
      <w:r>
        <w:rPr>
          <w:color w:val="1F3A5F"/>
        </w:rPr>
        <w:t>Type pairing</w:t>
      </w:r>
    </w:p>
    <w:p>
      <w:pPr>
        <w:pStyle w:val="ListBullet"/>
      </w:pPr>
      <w:r>
        <w:t>Pair typefaces with contrasting roles, e.g. a bold serif display face with a clean sans body face</w:t>
      </w:r>
    </w:p>
    <w:p>
      <w:pPr>
        <w:pStyle w:val="ListBullet"/>
      </w:pPr>
      <w:r>
        <w:t>Limit a design to 2-3 typefaces to avoid visual clutter</w:t>
      </w:r>
    </w:p>
    <w:p>
      <w:pPr>
        <w:pStyle w:val="ListBullet"/>
      </w:pPr>
      <w:r>
        <w:t>Superfamilies (e.g. a typeface with matching serif, sans and mono versions) pair reliably because they share proportions</w:t>
      </w:r>
    </w:p>
    <w:p>
      <w:pPr>
        <w:pStyle w:val="Heading2"/>
      </w:pPr>
      <w:r>
        <w:rPr>
          <w:color w:val="1F3A5F"/>
        </w:rPr>
        <w:t>A brief history of key typefaces</w:t>
      </w:r>
    </w:p>
    <w:p>
      <w:pPr>
        <w:pStyle w:val="ListBullet"/>
      </w:pPr>
      <w:r>
        <w:t>Garamond (16th century) — classic old-style serif, still used in book typesetting</w:t>
      </w:r>
    </w:p>
    <w:p>
      <w:pPr>
        <w:pStyle w:val="ListBullet"/>
      </w:pPr>
      <w:r>
        <w:t>Gill Sans (1928) — British humanist sans-serif</w:t>
      </w:r>
    </w:p>
    <w:p>
      <w:pPr>
        <w:pStyle w:val="ListBullet"/>
      </w:pPr>
      <w:r>
        <w:t>Helvetica (1957) — Swiss neo-grotesque, symbol of the International Typographic Style</w:t>
      </w:r>
    </w:p>
    <w:p>
      <w:pPr>
        <w:pStyle w:val="ListBullet"/>
      </w:pPr>
      <w:r>
        <w:t>Futura (1927) — geometric sans-serif based on circles, squares and triangles</w:t>
      </w:r>
    </w:p>
    <w:p>
      <w:pPr>
        <w:pStyle w:val="Heading1"/>
      </w:pPr>
      <w:r>
        <w:rPr>
          <w:color w:val="1F3A5F"/>
        </w:rPr>
        <w:t>Semiotics Basics</w:t>
      </w:r>
    </w:p>
    <w:p>
      <w:pPr>
        <w:pStyle w:val="Heading2"/>
      </w:pPr>
      <w:r>
        <w:rPr>
          <w:color w:val="1F3A5F"/>
        </w:rPr>
        <w:t>Icon, index, symbol (Peirce's model)</w:t>
      </w:r>
    </w:p>
    <w:p>
      <w:pPr>
        <w:pStyle w:val="ListBullet"/>
      </w:pPr>
      <w:r>
        <w:t>Icon — resembles what it represents (a photograph, a silhouette of a person)</w:t>
      </w:r>
    </w:p>
    <w:p>
      <w:pPr>
        <w:pStyle w:val="ListBullet"/>
      </w:pPr>
      <w:r>
        <w:t>Index — has a direct/causal link to what it represents (smoke indicates fire)</w:t>
      </w:r>
    </w:p>
    <w:p>
      <w:pPr>
        <w:pStyle w:val="ListBullet"/>
      </w:pPr>
      <w:r>
        <w:t>Symbol — meaning is learned/agreed by convention (a red cross, a national flag)</w:t>
      </w:r>
    </w:p>
    <w:p>
      <w:pPr>
        <w:pStyle w:val="Heading2"/>
      </w:pPr>
      <w:r>
        <w:rPr>
          <w:color w:val="1F3A5F"/>
        </w:rPr>
        <w:t>Denotation vs connotation</w:t>
      </w:r>
    </w:p>
    <w:p>
      <w:r>
        <w:t>Denotation is the literal, surface meaning of an image or mark. Connotation is the cultural or emotional association layered on top. A logo's shape (denotation) might connote luxury, playfulness or trustworthiness depending on colour, form and context.</w:t>
      </w:r>
    </w:p>
    <w:p>
      <w:pPr>
        <w:pStyle w:val="Heading1"/>
      </w:pPr>
      <w:r>
        <w:rPr>
          <w:color w:val="1F3A5F"/>
        </w:rPr>
        <w:t>Design Thinking Frameworks</w:t>
      </w:r>
    </w:p>
    <w:p>
      <w:pPr>
        <w:pStyle w:val="Heading2"/>
      </w:pPr>
      <w:r>
        <w:rPr>
          <w:color w:val="1F3A5F"/>
        </w:rPr>
        <w:t>The Double Diamond</w:t>
      </w:r>
    </w:p>
    <w:p>
      <w:r>
        <w:t>A widely used design process model with four phases: Discover (explore the problem), Define (narrow to a clear brief), Develop (generate and test solutions), Deliver (finalise and launch). Compares directly to the VCAA design process stages studied this unit.</w:t>
      </w:r>
    </w:p>
    <w:p>
      <w:pPr>
        <w:pStyle w:val="Heading2"/>
      </w:pPr>
      <w:r>
        <w:rPr>
          <w:color w:val="1F3A5F"/>
        </w:rPr>
        <w:t>IDEO's Design Thinking model</w:t>
      </w:r>
    </w:p>
    <w:p>
      <w:r>
        <w:t>Empathise, Define, Ideate, Prototype, Test — an iterative, human-centred process widely used in industry, especially for digital/interaction design.</w:t>
      </w:r>
    </w:p>
    <w:p>
      <w:pPr>
        <w:pStyle w:val="Heading2"/>
      </w:pPr>
      <w:r>
        <w:rPr>
          <w:color w:val="1F3A5F"/>
        </w:rPr>
        <w:t>The Design Sprint</w:t>
      </w:r>
    </w:p>
    <w:p>
      <w:r>
        <w:t>A 5-day process (popularised by Google Ventures) for answering critical design questions through prototyping and user testing before committing significant resources to a project.</w:t>
      </w:r>
    </w:p>
    <w:p>
      <w:pPr>
        <w:pStyle w:val="Heading1"/>
      </w:pPr>
      <w:r>
        <w:rPr>
          <w:color w:val="1F3A5F"/>
        </w:rPr>
        <w:t>Industry-Standard Digital Tools</w:t>
      </w:r>
    </w:p>
    <w:p>
      <w:pPr>
        <w:pStyle w:val="Heading2"/>
      </w:pPr>
      <w:r>
        <w:rPr>
          <w:color w:val="1F3A5F"/>
        </w:rPr>
        <w:t>Common software by purpose</w:t>
      </w:r>
    </w:p>
    <w:p>
      <w:pPr>
        <w:pStyle w:val="ListBullet"/>
      </w:pPr>
      <w:r>
        <w:t>Adobe Illustrator — vector illustration, logos, layout elements</w:t>
      </w:r>
    </w:p>
    <w:p>
      <w:pPr>
        <w:pStyle w:val="ListBullet"/>
      </w:pPr>
      <w:r>
        <w:t>Adobe Photoshop — raster image editing, photo manipulation, rendering</w:t>
      </w:r>
    </w:p>
    <w:p>
      <w:pPr>
        <w:pStyle w:val="ListBullet"/>
      </w:pPr>
      <w:r>
        <w:t>Adobe InDesign — multi-page layout (magazines, brochures, books)</w:t>
      </w:r>
    </w:p>
    <w:p>
      <w:pPr>
        <w:pStyle w:val="ListBullet"/>
      </w:pPr>
      <w:r>
        <w:t>Figma — UI/UX design and prototyping, collaborative interface design</w:t>
      </w:r>
    </w:p>
    <w:p>
      <w:pPr>
        <w:pStyle w:val="ListBullet"/>
      </w:pPr>
      <w:r>
        <w:t>Procreate — digital sketching and illustration on tablet devices</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1 Extended Knowledge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