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2: Design Contexts and Connections</w:t>
      </w:r>
    </w:p>
    <w:p>
      <w:pPr>
        <w:jc w:val="center"/>
      </w:pPr>
      <w:r>
        <w:rPr>
          <w:b/>
          <w:color w:val="1F3A5F"/>
          <w:sz w:val="26"/>
        </w:rPr>
        <w:t>VCE Visual Communication Design — Year 11</w:t>
      </w:r>
    </w:p>
    <w:p>
      <w:pPr>
        <w:jc w:val="center"/>
      </w:pPr>
      <w:r>
        <w:rPr>
          <w:i/>
          <w:sz w:val="21"/>
        </w:rPr>
        <w:t>Extended Design Knowledge — beyond the study design</w:t>
      </w:r>
    </w:p>
    <w:p/>
    <w:tbl>
      <w:tblPr>
        <w:tblStyle w:val="TableGrid"/>
        <w:tblW w:type="auto" w:w="0"/>
        <w:tblLook w:firstColumn="1" w:firstRow="1" w:lastColumn="0" w:lastRow="0" w:noHBand="0" w:noVBand="1" w:val="04A0"/>
      </w:tblPr>
      <w:tblGrid>
        <w:gridCol w:w="9972"/>
      </w:tblGrid>
      <w:tr>
        <w:tc>
          <w:tcPr>
            <w:tcW w:type="dxa" w:w="9972"/>
            <w:shd w:val="clear" w:color="auto" w:fill="FEF3E2"/>
          </w:tcPr>
          <w:p>
            <w:r>
              <w:rPr>
                <w:i/>
                <w:color w:val="B45309"/>
                <w:sz w:val="18"/>
              </w:rPr>
              <w:t>Enrichment material for stronger analysis, broader design literacy and folio quality. Not required by the VCAA study design and not directly examinable, but strengthens the depth and sophistication of exam responses and folio annotations.</w:t>
            </w:r>
          </w:p>
        </w:tc>
      </w:tr>
    </w:tbl>
    <w:p/>
    <w:p>
      <w:pPr>
        <w:pStyle w:val="Heading1"/>
      </w:pPr>
      <w:r>
        <w:rPr>
          <w:color w:val="1F3A5F"/>
        </w:rPr>
        <w:t>More Design Movements and Trends in History</w:t>
      </w:r>
    </w:p>
    <w:p>
      <w:pPr>
        <w:pStyle w:val="Heading2"/>
      </w:pPr>
      <w:r>
        <w:rPr>
          <w:color w:val="1F3A5F"/>
        </w:rPr>
        <w:t>Movements not covered in Unit 1</w:t>
      </w:r>
    </w:p>
    <w:p>
      <w:pPr>
        <w:pStyle w:val="ListBullet"/>
      </w:pPr>
      <w:r>
        <w:t>Arts and Crafts (late 1800s) — reaction against industrialisation, craftsmanship, William Morris</w:t>
      </w:r>
    </w:p>
    <w:p>
      <w:pPr>
        <w:pStyle w:val="ListBullet"/>
      </w:pPr>
      <w:r>
        <w:t>Art Nouveau (1890s-1910s) — organic, flowing lines inspired by nature</w:t>
      </w:r>
    </w:p>
    <w:p>
      <w:pPr>
        <w:pStyle w:val="ListBullet"/>
      </w:pPr>
      <w:r>
        <w:t>Constructivism (1920s Russia) — geometric abstraction in service of social/political ideas</w:t>
      </w:r>
    </w:p>
    <w:p>
      <w:pPr>
        <w:pStyle w:val="ListBullet"/>
      </w:pPr>
      <w:r>
        <w:t>De Stijl (1917 onward) — primary colours, grids, Piet Mondrian and Theo van Doesburg</w:t>
      </w:r>
    </w:p>
    <w:p>
      <w:pPr>
        <w:pStyle w:val="ListBullet"/>
      </w:pPr>
      <w:r>
        <w:t>Memphis Group (1980s) — bold colour, clashing patterns, postmodern furniture and product design</w:t>
      </w:r>
    </w:p>
    <w:p>
      <w:pPr>
        <w:pStyle w:val="ListBullet"/>
      </w:pPr>
      <w:r>
        <w:t>Minimalism — reduction to essential form, 'less is more'</w:t>
      </w:r>
    </w:p>
    <w:p>
      <w:pPr>
        <w:pStyle w:val="ListBullet"/>
      </w:pPr>
      <w:r>
        <w:t>Brutalism — raw, unornamented forms in both architecture and web/graphic design</w:t>
      </w:r>
    </w:p>
    <w:p>
      <w:pPr>
        <w:pStyle w:val="Heading2"/>
      </w:pPr>
      <w:r>
        <w:rPr>
          <w:color w:val="1F3A5F"/>
        </w:rPr>
        <w:t>Contemporary considerations</w:t>
      </w:r>
    </w:p>
    <w:p>
      <w:r>
        <w:t>Y2K aesthetic revival, AI-generated imagery and the ethical questions it raises around authorship and originality, and the growing influence of motion/interactive design as screens become the primary medium for communication design.</w:t>
      </w:r>
    </w:p>
    <w:p>
      <w:pPr>
        <w:pStyle w:val="Heading1"/>
      </w:pPr>
      <w:r>
        <w:rPr>
          <w:color w:val="1F3A5F"/>
        </w:rPr>
        <w:t>Sustainable and Circular Design</w:t>
      </w:r>
    </w:p>
    <w:p>
      <w:pPr>
        <w:pStyle w:val="Heading2"/>
      </w:pPr>
      <w:r>
        <w:rPr>
          <w:color w:val="1F3A5F"/>
        </w:rPr>
        <w:t>Key concepts</w:t>
      </w:r>
    </w:p>
    <w:p>
      <w:pPr>
        <w:pStyle w:val="ListBullet"/>
      </w:pPr>
      <w:r>
        <w:t>Cradle-to-cradle design — products designed so materials can be fully recycled or biodegraded at end of life</w:t>
      </w:r>
    </w:p>
    <w:p>
      <w:pPr>
        <w:pStyle w:val="ListBullet"/>
      </w:pPr>
      <w:r>
        <w:t>Biomimicry — solving design problems by learning from natural systems and forms</w:t>
      </w:r>
    </w:p>
    <w:p>
      <w:pPr>
        <w:pStyle w:val="ListBullet"/>
      </w:pPr>
      <w:r>
        <w:t>Design for disassembly — products engineered to be easily taken apart for repair or recycling</w:t>
      </w:r>
    </w:p>
    <w:p>
      <w:pPr>
        <w:pStyle w:val="Heading1"/>
      </w:pPr>
      <w:r>
        <w:rPr>
          <w:color w:val="1F3A5F"/>
        </w:rPr>
        <w:t>Branding and Identity Theory</w:t>
      </w:r>
    </w:p>
    <w:p>
      <w:pPr>
        <w:pStyle w:val="Heading2"/>
      </w:pPr>
      <w:r>
        <w:rPr>
          <w:color w:val="1F3A5F"/>
        </w:rPr>
        <w:t>Core concepts</w:t>
      </w:r>
    </w:p>
    <w:p>
      <w:pPr>
        <w:pStyle w:val="ListBullet"/>
      </w:pPr>
      <w:r>
        <w:t>Brand architecture — how a company organises and relates multiple sub-brands</w:t>
      </w:r>
    </w:p>
    <w:p>
      <w:pPr>
        <w:pStyle w:val="ListBullet"/>
      </w:pPr>
      <w:r>
        <w:t>Tone of voice — the consistent personality expressed through language and visuals</w:t>
      </w:r>
    </w:p>
    <w:p>
      <w:pPr>
        <w:pStyle w:val="ListBullet"/>
      </w:pPr>
      <w:r>
        <w:t>Brand guidelines — documented rules for logo use, colour, type and imagery</w:t>
      </w:r>
    </w:p>
    <w:p>
      <w:pPr>
        <w:pStyle w:val="Heading2"/>
      </w:pPr>
      <w:r>
        <w:rPr>
          <w:color w:val="1F3A5F"/>
        </w:rPr>
        <w:t>Worth researching</w:t>
      </w:r>
    </w:p>
    <w:p>
      <w:r>
        <w:t>Case studies of how major brands have evolved their logos over decades (simplification for digital screens is a common contemporary driver) make strong exam and folio examples.</w:t>
      </w:r>
    </w:p>
    <w:p>
      <w:pPr>
        <w:pStyle w:val="Heading1"/>
      </w:pPr>
      <w:r>
        <w:rPr>
          <w:color w:val="1F3A5F"/>
        </w:rPr>
        <w:t>UX/UI and Service Design Basics</w:t>
      </w:r>
    </w:p>
    <w:p>
      <w:pPr>
        <w:pStyle w:val="Heading2"/>
      </w:pPr>
      <w:r>
        <w:rPr>
          <w:color w:val="1F3A5F"/>
        </w:rPr>
        <w:t>Key terms</w:t>
      </w:r>
    </w:p>
    <w:p>
      <w:pPr>
        <w:pStyle w:val="ListBullet"/>
      </w:pPr>
      <w:r>
        <w:t>User persona — a fictional profile representing a target user segment</w:t>
      </w:r>
    </w:p>
    <w:p>
      <w:pPr>
        <w:pStyle w:val="ListBullet"/>
      </w:pPr>
      <w:r>
        <w:t>User journey map — a visualisation of the steps a user takes to complete a task</w:t>
      </w:r>
    </w:p>
    <w:p>
      <w:pPr>
        <w:pStyle w:val="ListBullet"/>
      </w:pPr>
      <w:r>
        <w:t>Wireframe — a low-fidelity structural sketch of an interface, before visual design is applied</w:t>
      </w:r>
    </w:p>
    <w:p>
      <w:pPr>
        <w:pStyle w:val="ListBullet"/>
      </w:pPr>
      <w:r>
        <w:t>Service design — designing the end-to-end experience of a service, not just a single artefact</w:t>
      </w:r>
    </w:p>
    <w:p>
      <w:pPr>
        <w:pStyle w:val="Heading1"/>
      </w:pPr>
      <w:r>
        <w:rPr>
          <w:color w:val="1F3A5F"/>
        </w:rPr>
        <w:t>Design Ethics and Responsibility</w:t>
      </w:r>
    </w:p>
    <w:p>
      <w:pPr>
        <w:pStyle w:val="Heading2"/>
      </w:pPr>
      <w:r>
        <w:rPr>
          <w:color w:val="1F3A5F"/>
        </w:rPr>
        <w:t>Issues to be aware of</w:t>
      </w:r>
    </w:p>
    <w:p>
      <w:pPr>
        <w:pStyle w:val="ListBullet"/>
      </w:pPr>
      <w:r>
        <w:t>Dark patterns — interface designs that deliberately trick users into unintended actions</w:t>
      </w:r>
    </w:p>
    <w:p>
      <w:pPr>
        <w:pStyle w:val="ListBullet"/>
      </w:pPr>
      <w:r>
        <w:t>Greenwashing — packaging/branding that overstates environmental credentials</w:t>
      </w:r>
    </w:p>
    <w:p>
      <w:pPr>
        <w:pStyle w:val="ListBullet"/>
      </w:pPr>
      <w:r>
        <w:t>Cultural appropriation vs appreciation — using cultural motifs respectfully and with context</w:t>
      </w:r>
    </w:p>
    <w:p>
      <w:pPr>
        <w:pStyle w:val="ListBullet"/>
      </w:pPr>
      <w:r>
        <w:t>Inclusive design — designing for the widest possible range of users, including disability</w:t>
      </w:r>
    </w:p>
    <w:p>
      <w:pPr>
        <w:pStyle w:val="Heading1"/>
      </w:pPr>
      <w:r>
        <w:rPr>
          <w:color w:val="1F3A5F"/>
        </w:rPr>
        <w:t>Designer Case Studies</w:t>
      </w:r>
    </w:p>
    <w:p>
      <w:pPr>
        <w:pStyle w:val="Heading2"/>
      </w:pPr>
      <w:r>
        <w:rPr>
          <w:color w:val="1F3A5F"/>
        </w:rPr>
        <w:t>Figures worth knowing</w:t>
      </w:r>
    </w:p>
    <w:p>
      <w:pPr>
        <w:pStyle w:val="ListBullet"/>
      </w:pPr>
      <w:r>
        <w:t>Paula Scher — bold typographic identity work (Citibank, The Public Theater)</w:t>
      </w:r>
    </w:p>
    <w:p>
      <w:pPr>
        <w:pStyle w:val="ListBullet"/>
      </w:pPr>
      <w:r>
        <w:t>Massimo Vignelli — Swiss-influenced systems design (New York City subway map)</w:t>
      </w:r>
    </w:p>
    <w:p>
      <w:pPr>
        <w:pStyle w:val="ListBullet"/>
      </w:pPr>
      <w:r>
        <w:t>Dieter Rams — 10 principles of good design, Braun product design</w:t>
      </w:r>
    </w:p>
    <w:p>
      <w:pPr>
        <w:pStyle w:val="ListBullet"/>
      </w:pPr>
      <w:r>
        <w:t>Saul Bass — pioneering film title sequences and corporate logos</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2 Extended Knowledge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