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rPr>
        <w:t>Unit 4: Design, Development and Presentation</w:t>
      </w:r>
    </w:p>
    <w:p>
      <w:pPr>
        <w:jc w:val="center"/>
      </w:pPr>
      <w:r>
        <w:rPr>
          <w:b/>
          <w:color w:val="1F3A5F"/>
          <w:sz w:val="26"/>
        </w:rPr>
        <w:t>VCE Visual Communication Design — Year 12</w:t>
      </w:r>
    </w:p>
    <w:p>
      <w:pPr>
        <w:jc w:val="center"/>
      </w:pPr>
      <w:r>
        <w:rPr>
          <w:i/>
          <w:sz w:val="21"/>
        </w:rPr>
        <w:t>Extended Design Knowledge — beyond the study design</w:t>
      </w:r>
    </w:p>
    <w:p/>
    <w:tbl>
      <w:tblPr>
        <w:tblStyle w:val="TableGrid"/>
        <w:tblW w:type="auto" w:w="0"/>
        <w:tblLook w:firstColumn="1" w:firstRow="1" w:lastColumn="0" w:lastRow="0" w:noHBand="0" w:noVBand="1" w:val="04A0"/>
      </w:tblPr>
      <w:tblGrid>
        <w:gridCol w:w="9972"/>
      </w:tblGrid>
      <w:tr>
        <w:tc>
          <w:tcPr>
            <w:tcW w:type="dxa" w:w="9972"/>
            <w:shd w:val="clear" w:color="auto" w:fill="FEF3E2"/>
          </w:tcPr>
          <w:p>
            <w:r>
              <w:rPr>
                <w:i/>
                <w:color w:val="B45309"/>
                <w:sz w:val="18"/>
              </w:rPr>
              <w:t>Enrichment material for stronger analysis, broader design literacy and folio quality. Not required by the VCAA study design and not directly examinable, but strengthens the depth and sophistication of exam responses and folio annotations.</w:t>
            </w:r>
          </w:p>
        </w:tc>
      </w:tr>
    </w:tbl>
    <w:p/>
    <w:p>
      <w:pPr>
        <w:pStyle w:val="Heading1"/>
      </w:pPr>
      <w:r>
        <w:rPr>
          <w:color w:val="1F3A5F"/>
        </w:rPr>
        <w:t>Materials and Manufacturing Processes</w:t>
      </w:r>
    </w:p>
    <w:p>
      <w:pPr>
        <w:pStyle w:val="Heading2"/>
      </w:pPr>
      <w:r>
        <w:rPr>
          <w:color w:val="1F3A5F"/>
        </w:rPr>
        <w:t>Common processes worth knowing</w:t>
      </w:r>
    </w:p>
    <w:p>
      <w:pPr>
        <w:pStyle w:val="ListBullet"/>
      </w:pPr>
      <w:r>
        <w:t>Injection moulding — mass production of plastic products via molten plastic injected into a mould</w:t>
      </w:r>
    </w:p>
    <w:p>
      <w:pPr>
        <w:pStyle w:val="ListBullet"/>
      </w:pPr>
      <w:r>
        <w:t>Offset vs digital printing — offset suits large runs at low unit cost; digital suits short runs and personalisation</w:t>
      </w:r>
    </w:p>
    <w:p>
      <w:pPr>
        <w:pStyle w:val="ListBullet"/>
      </w:pPr>
      <w:r>
        <w:t>Laser cutting — precise cutting/engraving of sheet materials, common in packaging prototyping</w:t>
      </w:r>
    </w:p>
    <w:p>
      <w:pPr>
        <w:pStyle w:val="ListBullet"/>
      </w:pPr>
      <w:r>
        <w:t>3D printing / additive manufacturing — building objects layer by layer from a digital model</w:t>
      </w:r>
    </w:p>
    <w:p>
      <w:pPr>
        <w:pStyle w:val="Heading2"/>
      </w:pPr>
      <w:r>
        <w:rPr>
          <w:color w:val="1F3A5F"/>
        </w:rPr>
        <w:t>Sustainable material choices</w:t>
      </w:r>
    </w:p>
    <w:p>
      <w:r>
        <w:t>Recycled and recyclable substrates, biodegradable plastics, FSC-certified paper stock, and designing for minimal material use are all increasingly expected in professional practice and make for strong evaluation discussion points.</w:t>
      </w:r>
    </w:p>
    <w:p>
      <w:pPr>
        <w:pStyle w:val="Heading1"/>
      </w:pPr>
      <w:r>
        <w:rPr>
          <w:color w:val="1F3A5F"/>
        </w:rPr>
        <w:t>Advanced Rendering and Presentation Techniques</w:t>
      </w:r>
    </w:p>
    <w:p>
      <w:pPr>
        <w:pStyle w:val="Heading2"/>
      </w:pPr>
      <w:r>
        <w:rPr>
          <w:color w:val="1F3A5F"/>
        </w:rPr>
        <w:t>Manual rendering</w:t>
      </w:r>
    </w:p>
    <w:p>
      <w:pPr>
        <w:pStyle w:val="ListBullet"/>
      </w:pPr>
      <w:r>
        <w:t>Layering marker strokes from light to dark builds convincing tone and form</w:t>
      </w:r>
    </w:p>
    <w:p>
      <w:pPr>
        <w:pStyle w:val="ListBullet"/>
      </w:pPr>
      <w:r>
        <w:t>A consistent light source direction across a rendering keeps shading believable</w:t>
      </w:r>
    </w:p>
    <w:p>
      <w:pPr>
        <w:pStyle w:val="ListBullet"/>
      </w:pPr>
      <w:r>
        <w:t>Photorealistic vs stylised rendering — choose the approach that best suits the brief and audience</w:t>
      </w:r>
    </w:p>
    <w:p>
      <w:pPr>
        <w:pStyle w:val="Heading2"/>
      </w:pPr>
      <w:r>
        <w:rPr>
          <w:color w:val="1F3A5F"/>
        </w:rPr>
        <w:t>Digital rendering</w:t>
      </w:r>
    </w:p>
    <w:p>
      <w:r>
        <w:t>Basic familiarity with digital mockup techniques (placing a design onto a photographed product/environment) can significantly lift the perceived professionalism of a final presentation.</w:t>
      </w:r>
    </w:p>
    <w:p>
      <w:pPr>
        <w:pStyle w:val="Heading1"/>
      </w:pPr>
      <w:r>
        <w:rPr>
          <w:color w:val="1F3A5F"/>
        </w:rPr>
        <w:t>Folio and Portfolio Presentation</w:t>
      </w:r>
    </w:p>
    <w:p>
      <w:pPr>
        <w:pStyle w:val="Heading2"/>
      </w:pPr>
      <w:r>
        <w:rPr>
          <w:color w:val="1F3A5F"/>
        </w:rPr>
        <w:t>Beyond the VCE folio</w:t>
      </w:r>
    </w:p>
    <w:p>
      <w:pPr>
        <w:pStyle w:val="ListBullet"/>
      </w:pPr>
      <w:r>
        <w:t>Presentation boards — large-format physical boards used for exhibitions and client pitches</w:t>
      </w:r>
    </w:p>
    <w:p>
      <w:pPr>
        <w:pStyle w:val="ListBullet"/>
      </w:pPr>
      <w:r>
        <w:t>Digital portfolios — platforms such as Behance or a personal website for showcasing work beyond school</w:t>
      </w:r>
    </w:p>
    <w:p>
      <w:pPr>
        <w:pStyle w:val="ListBullet"/>
      </w:pPr>
      <w:r>
        <w:t>Consistent visual presentation (typography, layout, colour) across folio pages signals professionalism</w:t>
      </w:r>
    </w:p>
    <w:p>
      <w:pPr>
        <w:pStyle w:val="Heading1"/>
      </w:pPr>
      <w:r>
        <w:rPr>
          <w:color w:val="1F3A5F"/>
        </w:rPr>
        <w:t>Evaluation Frameworks Beyond VCAA</w:t>
      </w:r>
    </w:p>
    <w:p>
      <w:pPr>
        <w:pStyle w:val="Heading2"/>
      </w:pPr>
      <w:r>
        <w:rPr>
          <w:color w:val="1F3A5F"/>
        </w:rPr>
        <w:t>Methods used in industry</w:t>
      </w:r>
    </w:p>
    <w:p>
      <w:pPr>
        <w:pStyle w:val="ListBullet"/>
      </w:pPr>
      <w:r>
        <w:t>Heuristic evaluation — assessing a design against established usability principles</w:t>
      </w:r>
    </w:p>
    <w:p>
      <w:pPr>
        <w:pStyle w:val="ListBullet"/>
      </w:pPr>
      <w:r>
        <w:t>A/B testing — comparing two versions of a design with real users to see which performs better</w:t>
      </w:r>
    </w:p>
    <w:p>
      <w:pPr>
        <w:pStyle w:val="ListBullet"/>
      </w:pPr>
      <w:r>
        <w:t>'I like / I wish / What if' — a simple, structured feedback framework for peer critique</w:t>
      </w:r>
    </w:p>
    <w:p>
      <w:pPr>
        <w:pStyle w:val="Heading1"/>
      </w:pPr>
      <w:r>
        <w:rPr>
          <w:color w:val="1F3A5F"/>
        </w:rPr>
        <w:t>Career Pathways in Design</w:t>
      </w:r>
    </w:p>
    <w:p>
      <w:pPr>
        <w:pStyle w:val="Heading2"/>
      </w:pPr>
      <w:r>
        <w:rPr>
          <w:color w:val="1F3A5F"/>
        </w:rPr>
        <w:t>Where VCD can lead</w:t>
      </w:r>
    </w:p>
    <w:p>
      <w:pPr>
        <w:pStyle w:val="ListBullet"/>
      </w:pPr>
      <w:r>
        <w:t>University pathways — Bachelor of Design/Communication Design/Industrial Design programs</w:t>
      </w:r>
    </w:p>
    <w:p>
      <w:pPr>
        <w:pStyle w:val="ListBullet"/>
      </w:pPr>
      <w:r>
        <w:t>TAFE and apprenticeship pathways into trades connected to design (signage, cabinetmaking, print)</w:t>
      </w:r>
    </w:p>
    <w:p>
      <w:pPr>
        <w:pStyle w:val="ListBullet"/>
      </w:pPr>
      <w:r>
        <w:t>Industry roles — graphic designer, UX/UI designer, industrial designer, exhibition designer, art director</w:t>
      </w:r>
    </w:p>
    <w:p>
      <w:pPr>
        <w:pStyle w:val="Heading2"/>
      </w:pPr>
      <w:r>
        <w:rPr>
          <w:color w:val="1F3A5F"/>
        </w:rPr>
        <w:t>Tertiary folio requirements</w:t>
      </w:r>
    </w:p>
    <w:p>
      <w:r>
        <w:t>Many design degrees require a submitted folio as part of entry — the analytical and process-documentation habits built in VCE VCD directly prepare students for this.</w:t>
      </w:r>
    </w:p>
    <w:p>
      <w:pPr>
        <w:pStyle w:val="Heading1"/>
      </w:pPr>
      <w:r>
        <w:rPr>
          <w:color w:val="1F3A5F"/>
        </w:rPr>
        <w:t>Exam Preparation Strategies</w:t>
      </w:r>
    </w:p>
    <w:p>
      <w:pPr>
        <w:pStyle w:val="Heading2"/>
      </w:pPr>
      <w:r>
        <w:rPr>
          <w:color w:val="1F3A5F"/>
        </w:rPr>
        <w:t>Revising effectively</w:t>
      </w:r>
    </w:p>
    <w:p>
      <w:pPr>
        <w:pStyle w:val="ListBullet"/>
      </w:pPr>
      <w:r>
        <w:t>Revisit the command word glossary (identify, describe, explain, analyse, discuss, evaluate)</w:t>
      </w:r>
    </w:p>
    <w:p>
      <w:pPr>
        <w:pStyle w:val="ListBullet"/>
      </w:pPr>
      <w:r>
        <w:t>Practise full past exam papers under timed conditions, not just isolated questions</w:t>
      </w:r>
    </w:p>
    <w:p>
      <w:pPr>
        <w:pStyle w:val="ListBullet"/>
      </w:pPr>
      <w:r>
        <w:t>Review Unit 3 &amp; 4 key knowledge systematically rather than only re-reading notes passively</w:t>
      </w:r>
    </w:p>
    <w:p>
      <w:pPr>
        <w:pStyle w:val="ListBullet"/>
      </w:pPr>
      <w:r>
        <w:t>Time-box each exam question during practice so pacing becomes automatic</w:t>
      </w:r>
    </w:p>
    <w:sectPr w:rsidR="00FC693F" w:rsidRPr="0006063C" w:rsidSect="00034616">
      <w:footerReference w:type="default" r:id="rId9"/>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Unit 4 Extended Knowledge  |  Page </w:t>
    </w:r>
    <w:r>
      <w:rPr>
        <w:color w:val="99999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