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VCE VISUAL COMMUNICATION DESIGN · VCAA 2024 · UNIT 2</w:t>
      </w:r>
    </w:p>
    <w:p>
      <w:pPr>
        <w:pStyle w:val="Title"/>
        <w:jc w:val="center"/>
      </w:pPr>
      <w:r>
        <w:t>Student Workbook</w:t>
      </w:r>
    </w:p>
    <w:p>
      <w:pPr>
        <w:jc w:val="center"/>
      </w:pPr>
      <w:r>
        <w:rPr>
          <w:b/>
          <w:sz w:val="28"/>
        </w:rPr>
        <w:t>Trends in Design · Design &amp; Industry Connections</w:t>
      </w:r>
    </w:p>
    <w:p/>
    <w:p>
      <w:pPr>
        <w:pStyle w:val="Heading2"/>
      </w:pPr>
      <w:r>
        <w:t>📋 My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Teacher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Year</w:t>
            </w:r>
          </w:p>
        </w:tc>
        <w:tc>
          <w:tcPr>
            <w:tcW w:type="dxa" w:w="498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📖 Contents</w:t>
      </w:r>
    </w:p>
    <w:p>
      <w:pPr>
        <w:pStyle w:val="ListBullet"/>
      </w:pPr>
      <w:r>
        <w:t>Activity 1: Trend Factors — Match the Example</w:t>
      </w:r>
      <w:r>
        <w:rPr>
          <w:i/>
        </w:rPr>
        <w:t xml:space="preserve">  (A1)</w:t>
      </w:r>
    </w:p>
    <w:p>
      <w:pPr>
        <w:pStyle w:val="ListBullet"/>
      </w:pPr>
      <w:r>
        <w:t>Activity 2: Analyse a Trend Across the 4 Fields</w:t>
      </w:r>
      <w:r>
        <w:rPr>
          <w:i/>
        </w:rPr>
        <w:t xml:space="preserve">  (A2)</w:t>
      </w:r>
    </w:p>
    <w:p>
      <w:pPr>
        <w:pStyle w:val="ListBullet"/>
      </w:pPr>
      <w:r>
        <w:t>Activity 3: Trend or Fad?</w:t>
      </w:r>
      <w:r>
        <w:rPr>
          <w:i/>
        </w:rPr>
        <w:t xml:space="preserve">  (A3)</w:t>
      </w:r>
    </w:p>
    <w:p>
      <w:pPr>
        <w:pStyle w:val="ListBullet"/>
      </w:pPr>
      <w:r>
        <w:t>Activity 4: Collaboration Roles — Match the Description</w:t>
      </w:r>
      <w:r>
        <w:rPr>
          <w:i/>
        </w:rPr>
        <w:t xml:space="preserve">  (A4)</w:t>
      </w:r>
    </w:p>
    <w:p>
      <w:pPr>
        <w:pStyle w:val="ListBullet"/>
      </w:pPr>
      <w:r>
        <w:t>Activity 5: Intellectual Property — Fill the Table</w:t>
      </w:r>
      <w:r>
        <w:rPr>
          <w:i/>
        </w:rPr>
        <w:t xml:space="preserve">  (A5)</w:t>
      </w:r>
    </w:p>
    <w:p>
      <w:pPr>
        <w:pStyle w:val="ListBullet"/>
      </w:pPr>
      <w:r>
        <w:t>Activity 6: Short Analysis — Exam Practice</w:t>
      </w:r>
      <w:r>
        <w:rPr>
          <w:i/>
        </w:rPr>
        <w:t xml:space="preserve">  (A6)</w:t>
      </w:r>
    </w:p>
    <w:p>
      <w:pPr>
        <w:pStyle w:val="ListBullet"/>
      </w:pPr>
      <w:r>
        <w:t>Activity 7: Extended Response — Case Study</w:t>
      </w:r>
      <w:r>
        <w:rPr>
          <w:i/>
        </w:rPr>
        <w:t xml:space="preserve">  (A7)</w:t>
      </w:r>
    </w:p>
    <w:p>
      <w:pPr>
        <w:pStyle w:val="ListBullet"/>
      </w:pPr>
      <w:r>
        <w:t>Activity 8: Reflection — What I Know / Still Learning</w:t>
      </w:r>
      <w:r>
        <w:rPr>
          <w:i/>
        </w:rPr>
        <w:t xml:space="preserve">  (A8)</w:t>
      </w:r>
    </w:p>
    <w:p>
      <w:r>
        <w:br w:type="page"/>
      </w:r>
    </w:p>
    <w:p>
      <w:pPr>
        <w:pStyle w:val="Heading1"/>
      </w:pPr>
      <w:r>
        <w:t>Activity 1: Trend Factors — Match the Example</w:t>
      </w:r>
    </w:p>
    <w:p>
      <w:r>
        <w:rPr>
          <w:b/>
        </w:rPr>
        <w:t>Marks available: 10 marks</w:t>
      </w:r>
    </w:p>
    <w:p>
      <w:r>
        <w:rPr>
          <w:b/>
          <w:i/>
        </w:rPr>
        <w:t xml:space="preserve">▸ </w:t>
      </w:r>
      <w:r>
        <w:rPr>
          <w:b w:val="0"/>
          <w:i/>
        </w:rPr>
        <w:t xml:space="preserve">Draw a line connecting each </w:t>
      </w:r>
      <w:r>
        <w:rPr>
          <w:b/>
          <w:i/>
        </w:rPr>
        <w:t>factor</w:t>
      </w:r>
      <w:r>
        <w:rPr>
          <w:b w:val="0"/>
          <w:i/>
        </w:rPr>
        <w:t xml:space="preserve"> to the example that best illustrates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Answer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324"/>
          </w:tcPr>
          <w:p>
            <w:r>
              <w:t>Social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A New AI image-generation tools change how illustrators produce concept art</w:t>
            </w:r>
          </w:p>
        </w:tc>
      </w:tr>
      <w:tr>
        <w:tc>
          <w:tcPr>
            <w:tcW w:type="dxa" w:w="3324"/>
          </w:tcPr>
          <w:p>
            <w:r>
              <w:t>Cultural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B Rising material costs push packaging designers toward cheaper substrates</w:t>
            </w:r>
          </w:p>
        </w:tc>
      </w:tr>
      <w:tr>
        <w:tc>
          <w:tcPr>
            <w:tcW w:type="dxa" w:w="3324"/>
          </w:tcPr>
          <w:p>
            <w:r>
              <w:t>Economic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C Remote work reshapes how office interiors are designed</w:t>
            </w:r>
          </w:p>
        </w:tc>
      </w:tr>
      <w:tr>
        <w:tc>
          <w:tcPr>
            <w:tcW w:type="dxa" w:w="3324"/>
          </w:tcPr>
          <w:p>
            <w:r>
              <w:t>Technological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D Growing concern about landfill waste drives biodegradable packaging design</w:t>
            </w:r>
          </w:p>
        </w:tc>
      </w:tr>
      <w:tr>
        <w:tc>
          <w:tcPr>
            <w:tcW w:type="dxa" w:w="3324"/>
          </w:tcPr>
          <w:p>
            <w:r>
              <w:t>Environmental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E A resurgence of interest in Indigenous motifs in Australian branding</w:t>
            </w:r>
          </w:p>
        </w:tc>
      </w:tr>
    </w:tbl>
    <w:p/>
    <w:p>
      <w:pPr>
        <w:pStyle w:val="Heading1"/>
      </w:pPr>
      <w:r>
        <w:t>Activity 2: Analyse a Trend Across the 4 Fields</w:t>
      </w:r>
    </w:p>
    <w:p>
      <w:r>
        <w:rPr>
          <w:b/>
        </w:rPr>
        <w:t>Marks available: 12 marks</w:t>
      </w:r>
    </w:p>
    <w:p>
      <w:r>
        <w:rPr>
          <w:b/>
          <w:i/>
        </w:rPr>
        <w:t xml:space="preserve">▸ </w:t>
      </w:r>
      <w:r>
        <w:rPr>
          <w:b w:val="0"/>
          <w:i/>
        </w:rPr>
        <w:t>Choose ONE current design trend. Complete the table showing how it appears in each design field.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C1D95"/>
          </w:tcPr>
          <w:p>
            <w:r>
              <w:rPr>
                <w:b/>
                <w:color w:val="FFFFFF"/>
              </w:rPr>
              <w:t>Design Field</w:t>
            </w:r>
          </w:p>
        </w:tc>
        <w:tc>
          <w:tcPr>
            <w:tcW w:type="dxa" w:w="4986"/>
            <w:shd w:val="clear" w:color="auto" w:fill="4C1D95"/>
          </w:tcPr>
          <w:p>
            <w:r>
              <w:rPr>
                <w:b/>
                <w:color w:val="FFFFFF"/>
              </w:rPr>
              <w:t>How the trend appears in this field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Communication Design</w:t>
            </w:r>
          </w:p>
        </w:tc>
        <w:tc>
          <w:tcPr>
            <w:tcW w:type="dxa" w:w="4986"/>
            <w:shd w:val="clear" w:color="auto" w:fill="F5F0FF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Environmental Design</w:t>
            </w:r>
          </w:p>
        </w:tc>
        <w:tc>
          <w:tcPr>
            <w:tcW w:type="dxa" w:w="4986"/>
            <w:shd w:val="clear" w:color="auto" w:fill="F5F0FF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Industrial Design</w:t>
            </w:r>
          </w:p>
        </w:tc>
        <w:tc>
          <w:tcPr>
            <w:tcW w:type="dxa" w:w="4986"/>
            <w:shd w:val="clear" w:color="auto" w:fill="F5F0FF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Interaction Design</w:t>
            </w:r>
          </w:p>
        </w:tc>
        <w:tc>
          <w:tcPr>
            <w:tcW w:type="dxa" w:w="4986"/>
            <w:shd w:val="clear" w:color="auto" w:fill="F5F0FF"/>
          </w:tcPr>
          <w:p/>
        </w:tc>
      </w:tr>
    </w:tbl>
    <w:p/>
    <w:p>
      <w:r>
        <w:rPr>
          <w:b/>
          <w:i/>
        </w:rPr>
        <w:t xml:space="preserve">▸ </w:t>
      </w:r>
      <w:r>
        <w:rPr>
          <w:b w:val="0"/>
          <w:i/>
        </w:rPr>
        <w:t>Which factor(s) — social, cultural, economic, technological, environmental — is driving this trend? Explain in one sentence.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Activity 3: Trend or Fad?</w:t>
      </w:r>
    </w:p>
    <w:p>
      <w:r>
        <w:rPr>
          <w:b/>
        </w:rPr>
        <w:t>Marks available: 8 marks</w:t>
      </w:r>
    </w:p>
    <w:p>
      <w:r>
        <w:rPr>
          <w:b/>
          <w:i/>
        </w:rPr>
        <w:t xml:space="preserve">▸ </w:t>
      </w:r>
      <w:r>
        <w:rPr>
          <w:b w:val="0"/>
          <w:i/>
        </w:rPr>
        <w:t xml:space="preserve">For each scenario, circle </w:t>
      </w:r>
      <w:r>
        <w:rPr>
          <w:b/>
          <w:i/>
        </w:rPr>
        <w:t>Trend</w:t>
      </w:r>
      <w:r>
        <w:rPr>
          <w:b w:val="0"/>
          <w:i/>
        </w:rPr>
        <w:t xml:space="preserve"> or </w:t>
      </w:r>
      <w:r>
        <w:rPr>
          <w:b/>
          <w:i/>
        </w:rPr>
        <w:t>Fad</w:t>
      </w:r>
      <w:r>
        <w:rPr>
          <w:b w:val="0"/>
          <w:i/>
        </w:rPr>
        <w:t xml:space="preserve"> and justify your answer in one sentence.</w:t>
      </w:r>
    </w:p>
    <w:p>
      <w:r>
        <w:rPr>
          <w:b/>
        </w:rPr>
        <w:t xml:space="preserve">1. A single novelty phone case design goes viral for a few weeks on social media. </w:t>
      </w:r>
      <w:r>
        <w:rPr>
          <w:b/>
        </w:rPr>
        <w:t>Trend / Fad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b/>
        </w:rPr>
        <w:t xml:space="preserve">2. Minimalism has steadily influenced logo design, architecture and product design for over a decade. </w:t>
      </w:r>
      <w:r>
        <w:rPr>
          <w:b/>
        </w:rPr>
        <w:t>Trend / Fad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b/>
        </w:rPr>
        <w:t xml:space="preserve">3. A particular meme-inspired filter briefly appears on packaging before disappearing within a month. </w:t>
      </w:r>
      <w:r>
        <w:rPr>
          <w:b/>
        </w:rPr>
        <w:t>Trend / Fad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b/>
        </w:rPr>
        <w:t xml:space="preserve">4. Sustainable packaging has grown steadily across multiple design fields for several years, driven by environmental concern. </w:t>
      </w:r>
      <w:r>
        <w:rPr>
          <w:b/>
        </w:rPr>
        <w:t>Trend / Fad</w:t>
      </w:r>
    </w:p>
    <w:p>
      <w:r>
        <w:rPr>
          <w:color w:val="B0B0B0"/>
        </w:rPr>
        <w:t>__________________________________________________________________________________________</w:t>
      </w:r>
    </w:p>
    <w:p>
      <w:pPr>
        <w:pStyle w:val="Heading1"/>
      </w:pPr>
      <w:r>
        <w:t>Activity 4: Collaboration Roles — Match the Description</w:t>
      </w:r>
    </w:p>
    <w:p>
      <w:r>
        <w:rPr>
          <w:b/>
        </w:rPr>
        <w:t>Marks available: 10 marks</w:t>
      </w:r>
    </w:p>
    <w:p>
      <w:r>
        <w:rPr>
          <w:b/>
          <w:i/>
        </w:rPr>
        <w:t xml:space="preserve">▸ </w:t>
      </w:r>
      <w:r>
        <w:rPr>
          <w:b w:val="0"/>
          <w:i/>
        </w:rPr>
        <w:t>Match each role to its correct description in the design industry.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Answer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t>Client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A Turns a design into physical or coded reality using their production expertise</w:t>
            </w:r>
          </w:p>
        </w:tc>
      </w:tr>
      <w:tr>
        <w:tc>
          <w:tcPr>
            <w:tcW w:type="dxa" w:w="3324"/>
          </w:tcPr>
          <w:p>
            <w:r>
              <w:t>Manufacturer / Builder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B Provides the design brief, feedback and funding for the project</w:t>
            </w:r>
          </w:p>
        </w:tc>
      </w:tr>
      <w:tr>
        <w:tc>
          <w:tcPr>
            <w:tcW w:type="dxa" w:w="3324"/>
          </w:tcPr>
          <w:p>
            <w:r>
              <w:t>Other designer / specialist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C Delivers the finished design to its final audience</w:t>
            </w:r>
          </w:p>
        </w:tc>
      </w:tr>
      <w:tr>
        <w:tc>
          <w:tcPr>
            <w:tcW w:type="dxa" w:w="3324"/>
          </w:tcPr>
          <w:p>
            <w:r>
              <w:t>Marketing / Developer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t>D Brings expertise in a different design field to the same project</w:t>
            </w:r>
          </w:p>
        </w:tc>
      </w:tr>
    </w:tbl>
    <w:p/>
    <w:p>
      <w:r>
        <w:br w:type="page"/>
      </w:r>
    </w:p>
    <w:p>
      <w:pPr>
        <w:pStyle w:val="Heading1"/>
      </w:pPr>
      <w:r>
        <w:t>Activity 5: Intellectual Property — Fill the Table</w:t>
      </w:r>
    </w:p>
    <w:p>
      <w:r>
        <w:rPr>
          <w:b/>
        </w:rPr>
        <w:t>Marks available: 12 marks</w:t>
      </w:r>
    </w:p>
    <w:p>
      <w:r>
        <w:rPr>
          <w:b/>
          <w:i/>
        </w:rPr>
        <w:t xml:space="preserve">▸ </w:t>
      </w:r>
      <w:r>
        <w:rPr>
          <w:b w:val="0"/>
          <w:i/>
        </w:rPr>
        <w:t>Complete the table with the missing information about each type of intellectual property protection.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C1D95"/>
          </w:tcPr>
          <w:p>
            <w:r>
              <w:rPr>
                <w:b/>
                <w:color w:val="FFFFFF"/>
              </w:rPr>
              <w:t>IP Type</w:t>
            </w:r>
          </w:p>
        </w:tc>
        <w:tc>
          <w:tcPr>
            <w:tcW w:type="dxa" w:w="3324"/>
            <w:shd w:val="clear" w:color="auto" w:fill="4C1D95"/>
          </w:tcPr>
          <w:p>
            <w:r>
              <w:rPr>
                <w:b/>
                <w:color w:val="FFFFFF"/>
              </w:rPr>
              <w:t>What it protects</w:t>
            </w:r>
          </w:p>
        </w:tc>
        <w:tc>
          <w:tcPr>
            <w:tcW w:type="dxa" w:w="3324"/>
            <w:shd w:val="clear" w:color="auto" w:fill="4C1D95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Copyright</w:t>
            </w:r>
          </w:p>
        </w:tc>
        <w:tc>
          <w:tcPr>
            <w:tcW w:type="dxa" w:w="3324"/>
            <w:shd w:val="clear" w:color="auto" w:fill="F5F0FF"/>
          </w:tcPr>
          <w:p/>
        </w:tc>
        <w:tc>
          <w:tcPr>
            <w:tcW w:type="dxa" w:w="3324"/>
            <w:shd w:val="clear" w:color="auto" w:fill="F5F0FF"/>
          </w:tcPr>
          <w:p/>
        </w:tc>
      </w:tr>
      <w:tr>
        <w:tc>
          <w:tcPr>
            <w:tcW w:type="dxa" w:w="3324"/>
          </w:tcPr>
          <w:p>
            <w:r>
              <w:rPr>
                <w:b/>
              </w:rPr>
              <w:t>Trademark</w:t>
            </w:r>
          </w:p>
        </w:tc>
        <w:tc>
          <w:tcPr>
            <w:tcW w:type="dxa" w:w="3324"/>
            <w:shd w:val="clear" w:color="auto" w:fill="F5F0FF"/>
          </w:tcPr>
          <w:p/>
        </w:tc>
        <w:tc>
          <w:tcPr>
            <w:tcW w:type="dxa" w:w="3324"/>
            <w:shd w:val="clear" w:color="auto" w:fill="F5F0FF"/>
          </w:tcPr>
          <w:p/>
        </w:tc>
      </w:tr>
      <w:tr>
        <w:tc>
          <w:tcPr>
            <w:tcW w:type="dxa" w:w="3324"/>
          </w:tcPr>
          <w:p>
            <w:r>
              <w:rPr>
                <w:b/>
              </w:rPr>
              <w:t>Design registration</w:t>
            </w:r>
          </w:p>
        </w:tc>
        <w:tc>
          <w:tcPr>
            <w:tcW w:type="dxa" w:w="3324"/>
            <w:shd w:val="clear" w:color="auto" w:fill="F5F0FF"/>
          </w:tcPr>
          <w:p/>
        </w:tc>
        <w:tc>
          <w:tcPr>
            <w:tcW w:type="dxa" w:w="3324"/>
            <w:shd w:val="clear" w:color="auto" w:fill="F5F0FF"/>
          </w:tcPr>
          <w:p/>
        </w:tc>
      </w:tr>
      <w:tr>
        <w:tc>
          <w:tcPr>
            <w:tcW w:type="dxa" w:w="3324"/>
          </w:tcPr>
          <w:p>
            <w:r>
              <w:rPr>
                <w:b/>
              </w:rPr>
              <w:t>Patent</w:t>
            </w:r>
          </w:p>
        </w:tc>
        <w:tc>
          <w:tcPr>
            <w:tcW w:type="dxa" w:w="3324"/>
            <w:shd w:val="clear" w:color="auto" w:fill="F5F0FF"/>
          </w:tcPr>
          <w:p/>
        </w:tc>
        <w:tc>
          <w:tcPr>
            <w:tcW w:type="dxa" w:w="3324"/>
            <w:shd w:val="clear" w:color="auto" w:fill="F5F0FF"/>
          </w:tcPr>
          <w:p/>
        </w:tc>
      </w:tr>
    </w:tbl>
    <w:p/>
    <w:p>
      <w:r>
        <w:rPr>
          <w:b/>
          <w:i/>
        </w:rPr>
        <w:t xml:space="preserve">▸ </w:t>
      </w:r>
      <w:r>
        <w:rPr>
          <w:b w:val="0"/>
          <w:i/>
        </w:rPr>
        <w:t>Explain in one sentence why intellectual property law is relevant to your own VCD folio work.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pPr>
        <w:pStyle w:val="Heading1"/>
      </w:pPr>
      <w:r>
        <w:t>Activity 6: Short Analysis — Exam Practice</w:t>
      </w:r>
    </w:p>
    <w:p>
      <w:r>
        <w:rPr>
          <w:b/>
        </w:rPr>
        <w:t>Marks available: 6 marks (2 marks each)</w:t>
      </w:r>
    </w:p>
    <w:p>
      <w:r>
        <w:rPr>
          <w:b/>
          <w:i/>
        </w:rPr>
        <w:t xml:space="preserve">▸ </w:t>
      </w:r>
      <w:r>
        <w:rPr>
          <w:b w:val="0"/>
          <w:i/>
        </w:rPr>
        <w:t xml:space="preserve">For each scenario, write a </w:t>
      </w:r>
      <w:r>
        <w:rPr>
          <w:b/>
          <w:i/>
        </w:rPr>
        <w:t>2-mark response</w:t>
      </w:r>
      <w:r>
        <w:rPr>
          <w:b w:val="0"/>
          <w:i/>
        </w:rPr>
        <w:t xml:space="preserve"> naming the relevant factor or IP type and explaining its relevance.</w:t>
      </w:r>
    </w:p>
    <w:p>
      <w:r>
        <w:rPr>
          <w:b/>
        </w:rPr>
        <w:t>1. A furniture brand switches to biodegradable packaging after customer complaints about landfill waste.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b/>
        </w:rPr>
        <w:t>2. A start-up discovers a competitor has copied their logo almost exactly and seeks legal advice.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b/>
        </w:rPr>
        <w:t>3. An architecture firm begins using generative software to explore hundreds of building forms overnight.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Activity 7: Extended Response — Case Study</w:t>
      </w:r>
    </w:p>
    <w:p>
      <w:r>
        <w:rPr>
          <w:b/>
        </w:rPr>
        <w:t>Marks available: 10 marks</w:t>
      </w:r>
    </w:p>
    <w:p>
      <w:r>
        <w:rPr>
          <w:b/>
          <w:i/>
        </w:rPr>
        <w:t xml:space="preserve">▸ </w:t>
      </w:r>
      <w:r>
        <w:rPr>
          <w:b w:val="0"/>
          <w:i/>
        </w:rPr>
        <w:t>Read the case study below. Write an extended response (approx. 4–5 sentences) identifying ONE trend and ONE industry connection, and explaining the factors behind each.</w:t>
      </w:r>
    </w:p>
    <w:p>
      <w:r>
        <w:rPr>
          <w:b w:val="0"/>
        </w:rPr>
        <w:t xml:space="preserve"> </w:t>
      </w:r>
      <w:r>
        <w:rPr>
          <w:b w:val="0"/>
        </w:rPr>
        <w:t>Case Study:</w:t>
      </w:r>
      <w:r>
        <w:rPr>
          <w:b w:val="0"/>
        </w:rPr>
        <w:t xml:space="preserve"> </w:t>
      </w:r>
      <w:r>
        <w:rPr>
          <w:b w:val="0"/>
        </w:rPr>
        <w:t>A furniture company launches a new modular chair made from recycled ocean plastic. The chair was designed collaboratively between an industrial designer and a materials engineer, and its packaging was created by a separate communication design studio using only recyclable cardboard and soy-based ink. The company also trademarked the chair's distinctive silhouette to prevent competitors from copying its design.</w:t>
      </w:r>
      <w:r>
        <w:rPr>
          <w:b w:val="0"/>
        </w:rPr>
        <w:t xml:space="preserve"> 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CFCE7"/>
          </w:tcPr>
          <w:p>
            <w:r>
              <w:rPr>
                <w:b/>
                <w:color w:val="166534"/>
              </w:rPr>
              <w:t>✅ Sample response (refer to after completing)</w:t>
            </w:r>
          </w:p>
        </w:tc>
      </w:tr>
      <w:tr>
        <w:tc>
          <w:tcPr>
            <w:tcW w:type="dxa" w:w="9972"/>
            <w:shd w:val="clear" w:color="auto" w:fill="F0FDF4"/>
          </w:tcPr>
          <w:p>
            <w:r>
              <w:rPr>
                <w:b w:val="0"/>
              </w:rPr>
              <w:t xml:space="preserve">This case study reflects the </w:t>
            </w:r>
            <w:r>
              <w:rPr>
                <w:b/>
              </w:rPr>
              <w:t>sustainability trend</w:t>
            </w:r>
            <w:r>
              <w:rPr>
                <w:b w:val="0"/>
              </w:rPr>
              <w:t xml:space="preserve">, driven primarily by environmental factors — evident in the use of recycled ocean plastic for the chair and recyclable, soy-ink packaging, both responding to growing consumer concern about waste and material sourcing. It also demonstrates </w:t>
            </w:r>
            <w:r>
              <w:rPr>
                <w:b/>
              </w:rPr>
              <w:t>industry collaboration</w:t>
            </w:r>
            <w:r>
              <w:rPr>
                <w:b w:val="0"/>
              </w:rPr>
              <w:t xml:space="preserve">, with the industrial designer working alongside a materials engineer to solve the technical challenge of working with recycled plastic, and a separate communication design studio handling the packaging — showing how a single product relies on multiple specialists across different design fields. Finally, the company's decision to trademark the chair's silhouette highlights the role of </w:t>
            </w:r>
            <w:r>
              <w:rPr>
                <w:b/>
              </w:rPr>
              <w:t>intellectual property</w:t>
            </w:r>
            <w:r>
              <w:rPr>
                <w:b w:val="0"/>
              </w:rPr>
              <w:t xml:space="preserve"> in protecting original design work from being copied once it reaches the market.</w:t>
            </w:r>
          </w:p>
        </w:tc>
      </w:tr>
    </w:tbl>
    <w:p/>
    <w:p>
      <w:pPr>
        <w:pStyle w:val="Heading1"/>
      </w:pPr>
      <w:r>
        <w:t>Activity 8: Reflection — What I Know</w:t>
      </w:r>
    </w:p>
    <w:p>
      <w:r>
        <w:rPr>
          <w:b/>
          <w:i/>
        </w:rPr>
        <w:t xml:space="preserve">▸ </w:t>
      </w:r>
      <w:r>
        <w:rPr>
          <w:b w:val="0"/>
          <w:i/>
        </w:rPr>
        <w:t>Use this page to reflect on your learning so far. Be honest — this helps you study smarter!</w:t>
      </w:r>
    </w:p>
    <w:p>
      <w:pPr>
        <w:pStyle w:val="Heading1"/>
      </w:pPr>
      <w:r>
        <w:t>Confidence Check</w:t>
      </w:r>
    </w:p>
    <w:p>
      <w:r>
        <w:rPr>
          <w:b w:val="0"/>
        </w:rPr>
        <w:t>Rate your confidence (1 = not sure · 3 = confident · 5 = could teach it):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C1D95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3324"/>
            <w:shd w:val="clear" w:color="auto" w:fill="4C1D95"/>
          </w:tcPr>
          <w:p>
            <w:r>
              <w:rPr>
                <w:b/>
                <w:color w:val="FFFFFF"/>
              </w:rPr>
              <w:t>Rating (circle one)</w:t>
            </w:r>
          </w:p>
        </w:tc>
        <w:tc>
          <w:tcPr>
            <w:tcW w:type="dxa" w:w="3324"/>
            <w:shd w:val="clear" w:color="auto" w:fill="4C1D95"/>
          </w:tcPr>
          <w:p>
            <w:r>
              <w:rPr>
                <w:b/>
                <w:color w:val="FFFFFF"/>
              </w:rPr>
              <w:t>What I'm unsure about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</w:rPr>
              <w:t>The 5 factors that drive design trends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</w:rPr>
              <w:t>Distinguishing a trend from a fad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</w:rPr>
              <w:t>Collaboration roles in the design industry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</w:rPr>
              <w:t>Intellectual property types (copyright, trademark, design registration, patent)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</w:rPr>
              <w:t>Writing an extended design-industry response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1 2 3 4 5</w:t>
            </w:r>
          </w:p>
        </w:tc>
        <w:tc>
          <w:tcPr>
            <w:tcW w:type="dxa" w:w="3324"/>
          </w:tcPr>
          <w:p/>
        </w:tc>
      </w:tr>
    </w:tbl>
    <w:p/>
    <w:p>
      <w:pPr>
        <w:pStyle w:val="Heading1"/>
      </w:pPr>
      <w:r>
        <w:t>My Learning Goals</w:t>
      </w:r>
    </w:p>
    <w:p>
      <w:r>
        <w:rPr>
          <w:b/>
          <w:i/>
        </w:rPr>
        <w:t xml:space="preserve">▸ </w:t>
      </w:r>
      <w:r>
        <w:rPr>
          <w:b w:val="0"/>
          <w:i/>
        </w:rPr>
        <w:t>Before next lesson, I will review / practise: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pPr>
        <w:pStyle w:val="Heading1"/>
      </w:pPr>
      <w:r>
        <w:t>One thing I found surprising or interesting:</w:t>
      </w:r>
    </w:p>
    <w:p>
      <w:r>
        <w:rPr>
          <w:color w:val="B0B0B0"/>
        </w:rPr>
        <w:t>__________________________________________________________________________________________</w:t>
      </w:r>
    </w:p>
    <w:p>
      <w:r>
        <w:rPr>
          <w:color w:val="B0B0B0"/>
        </w:rPr>
        <w:t>__________________________________________________________________________________________</w:t>
      </w:r>
    </w:p>
    <w:p>
      <w:pPr>
        <w:pStyle w:val="Heading1"/>
      </w:pPr>
      <w:r>
        <w:t>My key vocab list (write 10 design terms you want to remember):</w:t>
      </w:r>
    </w:p>
    <w:p>
      <w:r>
        <w:rPr>
          <w:b w:val="0"/>
        </w:rPr>
        <w:t>1.</w:t>
      </w:r>
    </w:p>
    <w:p>
      <w:r>
        <w:rPr>
          <w:b w:val="0"/>
        </w:rPr>
        <w:t>2.</w:t>
      </w:r>
    </w:p>
    <w:p>
      <w:r>
        <w:rPr>
          <w:b w:val="0"/>
        </w:rPr>
        <w:t>3.</w:t>
      </w:r>
    </w:p>
    <w:p>
      <w:r>
        <w:rPr>
          <w:b w:val="0"/>
        </w:rPr>
        <w:t>4.</w:t>
      </w:r>
    </w:p>
    <w:p>
      <w:r>
        <w:rPr>
          <w:b w:val="0"/>
        </w:rPr>
        <w:t>5.</w:t>
      </w:r>
    </w:p>
    <w:p>
      <w:r>
        <w:rPr>
          <w:b w:val="0"/>
        </w:rPr>
        <w:t>6.</w:t>
      </w:r>
    </w:p>
    <w:p>
      <w:r>
        <w:rPr>
          <w:b w:val="0"/>
        </w:rPr>
        <w:t>7.</w:t>
      </w:r>
    </w:p>
    <w:p>
      <w:r>
        <w:rPr>
          <w:b w:val="0"/>
        </w:rPr>
        <w:t>8.</w:t>
      </w:r>
    </w:p>
    <w:p>
      <w:r>
        <w:rPr>
          <w:b w:val="0"/>
        </w:rPr>
        <w:t>9.</w:t>
      </w:r>
    </w:p>
    <w:p>
      <w:r>
        <w:rPr>
          <w:b w:val="0"/>
        </w:rPr>
        <w:t>10.</w:t>
      </w:r>
    </w:p>
    <w:p>
      <w:pPr>
        <w:jc w:val="center"/>
      </w:pPr>
      <w:r>
        <w:rPr>
          <w:i/>
          <w:color w:val="999999"/>
          <w:sz w:val="16"/>
        </w:rPr>
        <w:t>VCE Visual Communication Design · Student Workbook · Unit 2 · VCAA 2024 Study Design · Total: 68 marks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