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9B842" w14:textId="096A7F4C" w:rsidR="00B45C2D" w:rsidRPr="0027575A" w:rsidRDefault="00B45C2D" w:rsidP="00B45C2D">
      <w:pPr>
        <w:spacing w:line="240" w:lineRule="auto"/>
        <w:ind w:right="-6"/>
        <w:jc w:val="right"/>
        <w:rPr>
          <w:rFonts w:eastAsia="Times New Roman" w:cs="Times New Roman"/>
          <w:b/>
          <w:bCs/>
          <w:i/>
          <w:sz w:val="24"/>
          <w:szCs w:val="25"/>
          <w:lang w:eastAsia="ru-RU"/>
        </w:rPr>
      </w:pPr>
      <w:r>
        <w:rPr>
          <w:b/>
          <w:bCs/>
          <w:i/>
          <w:sz w:val="24"/>
          <w:szCs w:val="26"/>
        </w:rPr>
        <w:t>Смолин</w:t>
      </w:r>
      <w:r w:rsidRPr="0027575A">
        <w:rPr>
          <w:b/>
          <w:bCs/>
          <w:i/>
          <w:sz w:val="24"/>
          <w:szCs w:val="26"/>
        </w:rPr>
        <w:t xml:space="preserve"> </w:t>
      </w:r>
      <w:r>
        <w:rPr>
          <w:b/>
          <w:bCs/>
          <w:i/>
          <w:sz w:val="24"/>
          <w:szCs w:val="26"/>
        </w:rPr>
        <w:t>В</w:t>
      </w:r>
      <w:r w:rsidRPr="0027575A">
        <w:rPr>
          <w:b/>
          <w:bCs/>
          <w:i/>
          <w:sz w:val="24"/>
          <w:szCs w:val="26"/>
        </w:rPr>
        <w:t>.А</w:t>
      </w:r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>.,</w:t>
      </w:r>
      <w:r w:rsidRPr="0027575A">
        <w:rPr>
          <w:i/>
          <w:sz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b/>
          <w:bCs/>
          <w:i/>
          <w:sz w:val="24"/>
          <w:szCs w:val="25"/>
          <w:lang w:eastAsia="ru-RU"/>
        </w:rPr>
        <w:t>ст</w:t>
      </w:r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>.</w:t>
      </w:r>
      <w:r>
        <w:rPr>
          <w:rFonts w:eastAsia="Times New Roman" w:cs="Times New Roman"/>
          <w:b/>
          <w:bCs/>
          <w:i/>
          <w:sz w:val="24"/>
          <w:szCs w:val="25"/>
          <w:lang w:eastAsia="ru-RU"/>
        </w:rPr>
        <w:t>преподаватель</w:t>
      </w:r>
      <w:proofErr w:type="spellEnd"/>
      <w:proofErr w:type="gramEnd"/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 xml:space="preserve">,  </w:t>
      </w:r>
      <w:r>
        <w:rPr>
          <w:rFonts w:eastAsia="Times New Roman" w:cs="Times New Roman"/>
          <w:b/>
          <w:bCs/>
          <w:i/>
          <w:sz w:val="24"/>
          <w:szCs w:val="26"/>
          <w:lang w:eastAsia="ru-RU"/>
        </w:rPr>
        <w:t>Гончаренко В.Ю., студ.</w:t>
      </w:r>
    </w:p>
    <w:p w14:paraId="02EE87BC" w14:textId="77777777" w:rsidR="00B45C2D" w:rsidRPr="00F86F25" w:rsidRDefault="00B45C2D" w:rsidP="00B45C2D">
      <w:pPr>
        <w:spacing w:after="0" w:line="17" w:lineRule="exact"/>
        <w:jc w:val="right"/>
        <w:rPr>
          <w:rFonts w:eastAsia="Times New Roman" w:cs="Times New Roman"/>
          <w:sz w:val="22"/>
          <w:szCs w:val="20"/>
          <w:lang w:eastAsia="ru-RU"/>
        </w:rPr>
      </w:pPr>
    </w:p>
    <w:p w14:paraId="13D9DCEA" w14:textId="063B60D1" w:rsidR="00B45C2D" w:rsidRPr="00F86F25" w:rsidRDefault="003E1EBA" w:rsidP="00B45C2D">
      <w:pPr>
        <w:spacing w:line="233" w:lineRule="auto"/>
        <w:ind w:right="13"/>
        <w:jc w:val="center"/>
        <w:rPr>
          <w:rFonts w:eastAsia="Times New Roman" w:cs="Times New Roman"/>
          <w:b/>
          <w:bCs/>
          <w:szCs w:val="26"/>
          <w:lang w:eastAsia="ru-RU"/>
        </w:rPr>
      </w:pPr>
      <w:r w:rsidRPr="003E1EBA">
        <w:rPr>
          <w:rFonts w:eastAsia="Times New Roman" w:cs="Times New Roman"/>
          <w:b/>
          <w:bCs/>
          <w:szCs w:val="26"/>
          <w:lang w:eastAsia="ru-RU"/>
        </w:rPr>
        <w:t>ЦИФРОВОЙ МОДУЛЬ СВЕТОМУЗЫКИ ЭКВАЛАЙЗЕР НА БАЗЕ МИКРОКОНТРОЛЛЕ ATMEGA328P</w:t>
      </w:r>
    </w:p>
    <w:p w14:paraId="2BD31820" w14:textId="6A024ED6" w:rsidR="008077F9" w:rsidRDefault="008077F9" w:rsidP="00441F20">
      <w:pPr>
        <w:pStyle w:val="af3"/>
        <w:spacing w:after="240"/>
      </w:pPr>
      <w:r>
        <w:t xml:space="preserve">В последнее время в мире всё большую популярность приобретают различные виды мультимедийных развлекательных </w:t>
      </w:r>
      <w:r w:rsidR="002A115F">
        <w:t>устройств,</w:t>
      </w:r>
      <w:r>
        <w:t xml:space="preserve"> и всё чаще они оснащаются </w:t>
      </w:r>
      <w:r>
        <w:rPr>
          <w:lang w:val="en-US"/>
        </w:rPr>
        <w:t>RGB</w:t>
      </w:r>
      <w:r>
        <w:t xml:space="preserve"> подсветкой в декоративных </w:t>
      </w:r>
      <w:r w:rsidR="002A115F">
        <w:t>целях (</w:t>
      </w:r>
      <w:r>
        <w:t>рисунок 1). Но лишь в устройствах премиум сегмента используются решения на основе адресных светодиодов с каким-либо внешним управлением.</w:t>
      </w:r>
    </w:p>
    <w:p w14:paraId="5C514B2E" w14:textId="77777777" w:rsidR="008077F9" w:rsidRDefault="008077F9" w:rsidP="008077F9">
      <w:pPr>
        <w:pStyle w:val="af5"/>
      </w:pPr>
      <w:r>
        <w:rPr>
          <w:noProof/>
          <w:lang w:eastAsia="ru-RU"/>
        </w:rPr>
        <w:drawing>
          <wp:inline distT="0" distB="0" distL="0" distR="0" wp14:anchorId="213A3BAE" wp14:editId="6532BE98">
            <wp:extent cx="4781550" cy="3187700"/>
            <wp:effectExtent l="0" t="0" r="0" b="0"/>
            <wp:docPr id="1" name="Рисунок 1" descr="Обзор игровой клавиатуры A4Tech Bloody B930 с RGB подсветкой – Техномод:  обзоры автогаджетов, электроники и бытовой техники, отчеты с международных  выставок и промышленные репортаж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зор игровой клавиатуры A4Tech Bloody B930 с RGB подсветкой – Техномод:  обзоры автогаджетов, электроники и бытовой техники, отчеты с международных  выставок и промышленные репортаж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062" cy="318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0F75" w14:textId="6DE17C3E" w:rsidR="008077F9" w:rsidRPr="00D75D09" w:rsidRDefault="008077F9" w:rsidP="008077F9">
      <w:pPr>
        <w:pStyle w:val="af5"/>
      </w:pPr>
      <w:r>
        <w:t>Рисунок</w:t>
      </w:r>
      <w:r w:rsidR="00A636C8">
        <w:t xml:space="preserve"> –</w:t>
      </w:r>
      <w:r>
        <w:t xml:space="preserve"> </w:t>
      </w:r>
      <w:fldSimple w:instr=" SEQ Рисунок \* ARABIC ">
        <w:r>
          <w:rPr>
            <w:noProof/>
          </w:rPr>
          <w:t>1</w:t>
        </w:r>
      </w:fldSimple>
      <w:r w:rsidRPr="00772026">
        <w:rPr>
          <w:noProof/>
        </w:rPr>
        <w:t xml:space="preserve"> </w:t>
      </w:r>
      <w:r>
        <w:t xml:space="preserve">Клавиатура с </w:t>
      </w:r>
      <w:r>
        <w:rPr>
          <w:lang w:val="en-US"/>
        </w:rPr>
        <w:t>RGB</w:t>
      </w:r>
      <w:r>
        <w:t xml:space="preserve"> подсветкой, цвет которой может изменятся только по заранее заданному алгоритму.</w:t>
      </w:r>
    </w:p>
    <w:p w14:paraId="2D219573" w14:textId="6F003999" w:rsidR="008077F9" w:rsidRDefault="008077F9" w:rsidP="00E67B9E">
      <w:pPr>
        <w:pStyle w:val="af3"/>
      </w:pPr>
      <w:r w:rsidRPr="00B45C2D">
        <w:t>Принцип работы</w:t>
      </w:r>
      <w:r>
        <w:t xml:space="preserve"> основан на преобразовании входного аналогового сигнала в цифровой </w:t>
      </w:r>
      <w:proofErr w:type="gramStart"/>
      <w:r>
        <w:t>вид ,</w:t>
      </w:r>
      <w:proofErr w:type="gramEnd"/>
      <w:r>
        <w:t xml:space="preserve"> путём использования 8-битной АЦП микроконтроллера </w:t>
      </w:r>
      <w:proofErr w:type="spellStart"/>
      <w:r>
        <w:rPr>
          <w:lang w:val="en-US"/>
        </w:rPr>
        <w:t>Atmega</w:t>
      </w:r>
      <w:proofErr w:type="spellEnd"/>
      <w:r w:rsidRPr="008137F4">
        <w:t>328</w:t>
      </w:r>
      <w:r>
        <w:rPr>
          <w:lang w:val="en-US"/>
        </w:rPr>
        <w:t>p</w:t>
      </w:r>
      <w:r>
        <w:t xml:space="preserve">, который в дальнейшем раскладывается на 10 спектров путём БПФ. Далее в зависимости от режима генерируется управляющий </w:t>
      </w:r>
      <w:proofErr w:type="gramStart"/>
      <w:r>
        <w:t>сигнал</w:t>
      </w:r>
      <w:proofErr w:type="gramEnd"/>
      <w:r>
        <w:t xml:space="preserve"> для адресных светодиодов который основывается на спектральном составе сигнала в конкретный момент времени, либо же на его амплитуде.</w:t>
      </w:r>
    </w:p>
    <w:p w14:paraId="7C6F37D0" w14:textId="6424B561" w:rsidR="008077F9" w:rsidRDefault="008077F9" w:rsidP="008077F9">
      <w:pPr>
        <w:pStyle w:val="af3"/>
      </w:pPr>
      <w:r>
        <w:t xml:space="preserve">Разрабатываемый </w:t>
      </w:r>
      <w:r w:rsidR="00566CDF">
        <w:t>модуль светомузыки</w:t>
      </w:r>
      <w:r>
        <w:t xml:space="preserve"> может встраивается в любое изделие с минимальными доработками в </w:t>
      </w:r>
      <w:proofErr w:type="gramStart"/>
      <w:r>
        <w:t>изначальной  конструкции</w:t>
      </w:r>
      <w:proofErr w:type="gramEnd"/>
      <w:r>
        <w:t>. Для реализации этой цели были решен ряд задач, направленных на миниатюризацию изделия, таких как:</w:t>
      </w:r>
    </w:p>
    <w:p w14:paraId="51BD1B00" w14:textId="77777777" w:rsidR="008077F9" w:rsidRDefault="008077F9" w:rsidP="008077F9">
      <w:pPr>
        <w:pStyle w:val="af3"/>
      </w:pPr>
      <w:r>
        <w:t>-многоуровневая разводка платы.</w:t>
      </w:r>
    </w:p>
    <w:p w14:paraId="5EC1B354" w14:textId="77777777" w:rsidR="008077F9" w:rsidRDefault="008077F9" w:rsidP="008077F9">
      <w:pPr>
        <w:pStyle w:val="af3"/>
      </w:pPr>
      <w:r>
        <w:t>-использование</w:t>
      </w:r>
      <w:r w:rsidRPr="00CB0EB0">
        <w:t xml:space="preserve"> </w:t>
      </w:r>
      <w:r>
        <w:rPr>
          <w:lang w:val="en-US"/>
        </w:rPr>
        <w:t>SMD</w:t>
      </w:r>
      <w:r w:rsidRPr="00CB0EB0">
        <w:t xml:space="preserve"> </w:t>
      </w:r>
      <w:r>
        <w:t>компонентов типоразмера 0402</w:t>
      </w:r>
    </w:p>
    <w:p w14:paraId="48097FAC" w14:textId="77777777" w:rsidR="008077F9" w:rsidRDefault="008077F9" w:rsidP="008077F9">
      <w:pPr>
        <w:pStyle w:val="af3"/>
      </w:pPr>
      <w:r>
        <w:t xml:space="preserve">-оптимизация расположения элементов для достижения максимальной плотности </w:t>
      </w:r>
      <w:proofErr w:type="gramStart"/>
      <w:r>
        <w:t>монтажа(</w:t>
      </w:r>
      <w:proofErr w:type="gramEnd"/>
      <w:r>
        <w:t>рисунок 2).</w:t>
      </w:r>
    </w:p>
    <w:p w14:paraId="2F73C160" w14:textId="77777777" w:rsidR="008077F9" w:rsidRDefault="008077F9" w:rsidP="008077F9">
      <w:pPr>
        <w:pStyle w:val="af5"/>
      </w:pPr>
      <w:r>
        <w:rPr>
          <w:noProof/>
          <w:lang w:eastAsia="ru-RU"/>
        </w:rPr>
        <w:lastRenderedPageBreak/>
        <w:drawing>
          <wp:inline distT="0" distB="0" distL="0" distR="0" wp14:anchorId="54893FDB" wp14:editId="3BAEF304">
            <wp:extent cx="5531446" cy="5153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968" cy="51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6EE3" w14:textId="2699F303" w:rsidR="008077F9" w:rsidRDefault="008077F9" w:rsidP="00B409E7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2F4AC9">
        <w:rPr>
          <w:noProof/>
        </w:rPr>
        <w:t xml:space="preserve"> –</w:t>
      </w:r>
      <w:r w:rsidRPr="00446A47">
        <w:rPr>
          <w:noProof/>
        </w:rPr>
        <w:t xml:space="preserve"> </w:t>
      </w:r>
      <w:r>
        <w:rPr>
          <w:noProof/>
        </w:rPr>
        <w:t>Топология печатной платы</w:t>
      </w:r>
    </w:p>
    <w:p w14:paraId="3FB1BEF3" w14:textId="4BF6B01E" w:rsidR="008077F9" w:rsidRDefault="002F4AC9" w:rsidP="008077F9">
      <w:pPr>
        <w:pStyle w:val="af3"/>
      </w:pPr>
      <w:r w:rsidRPr="00B45C2D">
        <w:t>Цель</w:t>
      </w:r>
      <w:r w:rsidR="00B45C2D">
        <w:t>ю</w:t>
      </w:r>
      <w:r w:rsidRPr="00B45C2D">
        <w:t xml:space="preserve"> работы</w:t>
      </w:r>
      <w:r w:rsidR="000473EA">
        <w:t xml:space="preserve"> </w:t>
      </w:r>
      <w:r w:rsidR="00B45C2D">
        <w:t>является</w:t>
      </w:r>
      <w:r w:rsidR="008077F9">
        <w:t xml:space="preserve"> максимальн</w:t>
      </w:r>
      <w:r w:rsidR="00B45C2D">
        <w:t>ое</w:t>
      </w:r>
      <w:r w:rsidR="008077F9">
        <w:t xml:space="preserve"> </w:t>
      </w:r>
      <w:r w:rsidR="00B45C2D">
        <w:t>снижение</w:t>
      </w:r>
      <w:r w:rsidR="008077F9">
        <w:t xml:space="preserve"> </w:t>
      </w:r>
      <w:r w:rsidR="00B45C2D">
        <w:t>стоимости</w:t>
      </w:r>
      <w:r w:rsidR="008077F9">
        <w:t xml:space="preserve"> </w:t>
      </w:r>
      <w:r w:rsidR="00261581">
        <w:t>модуля светомузыки</w:t>
      </w:r>
      <w:r w:rsidR="008077F9">
        <w:t xml:space="preserve"> по сравнению с предыдущей </w:t>
      </w:r>
      <w:proofErr w:type="gramStart"/>
      <w:r w:rsidR="008077F9">
        <w:t>версией(</w:t>
      </w:r>
      <w:proofErr w:type="gramEnd"/>
      <w:r w:rsidR="008077F9">
        <w:t xml:space="preserve">тут будет </w:t>
      </w:r>
      <w:proofErr w:type="spellStart"/>
      <w:r w:rsidR="008077F9">
        <w:t>ссыла</w:t>
      </w:r>
      <w:proofErr w:type="spellEnd"/>
      <w:r w:rsidR="008077F9">
        <w:t xml:space="preserve"> на прошлогоднею статью),в котором стоимость только блока питания(порядка 200 </w:t>
      </w:r>
      <w:proofErr w:type="spellStart"/>
      <w:r w:rsidR="008077F9">
        <w:t>руб</w:t>
      </w:r>
      <w:proofErr w:type="spellEnd"/>
      <w:r w:rsidR="008077F9">
        <w:t xml:space="preserve">) уже превышает стоимость нового </w:t>
      </w:r>
      <w:r w:rsidR="00261581">
        <w:t>модуля</w:t>
      </w:r>
      <w:r w:rsidR="008077F9">
        <w:t>. Так же это позволило достичь высокого уровня ЭМС, в частности позволяющие размещать управляющею плату в одном корпусе с импульсными блоками питания.</w:t>
      </w:r>
    </w:p>
    <w:p w14:paraId="20F74ADE" w14:textId="27D5E874" w:rsidR="008077F9" w:rsidRDefault="008077F9" w:rsidP="008077F9">
      <w:pPr>
        <w:pStyle w:val="af3"/>
      </w:pPr>
      <w:r>
        <w:tab/>
      </w:r>
      <w:r w:rsidR="0021168E">
        <w:t>Кроме того,</w:t>
      </w:r>
      <w:r>
        <w:t xml:space="preserve"> устройство является модульным, что даёт возможность менять силовую часть изделия под каждого конкретного заказчика, вплоть до возможности использовать для питания внешний блок питания.</w:t>
      </w:r>
    </w:p>
    <w:p w14:paraId="49FFF147" w14:textId="22D25293" w:rsidR="008077F9" w:rsidRDefault="00922836" w:rsidP="00922836">
      <w:pPr>
        <w:pStyle w:val="af5"/>
        <w:jc w:val="left"/>
      </w:pPr>
      <w:r>
        <w:tab/>
      </w:r>
      <w:r w:rsidR="008077F9">
        <w:t xml:space="preserve">Достигается это путём использования линейных стабилизаторов в корпусе ТО-252, которые обладают </w:t>
      </w:r>
      <w:r w:rsidR="00D55683">
        <w:t>диапазоном</w:t>
      </w:r>
      <w:r w:rsidR="008077F9">
        <w:t xml:space="preserve"> выходных токов от 0,5 А, до 3-4 А, что даёт возможность оптимизировать </w:t>
      </w:r>
      <w:proofErr w:type="gramStart"/>
      <w:r w:rsidR="008077F9">
        <w:t>плату(</w:t>
      </w:r>
      <w:proofErr w:type="gramEnd"/>
      <w:r w:rsidR="008077F9">
        <w:t xml:space="preserve">рисунок 3) для работы с любым кол-вом светодиодов от 30 до 250 </w:t>
      </w:r>
    </w:p>
    <w:p w14:paraId="7AD80755" w14:textId="77777777" w:rsidR="008077F9" w:rsidRDefault="008077F9" w:rsidP="008077F9">
      <w:pPr>
        <w:pStyle w:val="af5"/>
      </w:pPr>
      <w:r>
        <w:rPr>
          <w:noProof/>
          <w:lang w:eastAsia="ru-RU"/>
        </w:rPr>
        <w:lastRenderedPageBreak/>
        <w:drawing>
          <wp:inline distT="0" distB="0" distL="0" distR="0" wp14:anchorId="78B93570" wp14:editId="72E92ACA">
            <wp:extent cx="4085677" cy="39524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045" cy="39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4D07" w14:textId="43C0DE57" w:rsidR="008077F9" w:rsidRDefault="008077F9" w:rsidP="00922836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A636C8">
        <w:rPr>
          <w:noProof/>
        </w:rPr>
        <w:t xml:space="preserve"> –</w:t>
      </w:r>
      <w:r>
        <w:t xml:space="preserve"> </w:t>
      </w:r>
      <w:r>
        <w:rPr>
          <w:noProof/>
        </w:rPr>
        <w:t>3</w:t>
      </w:r>
      <w:r>
        <w:rPr>
          <w:noProof/>
          <w:lang w:val="en-GB"/>
        </w:rPr>
        <w:t>D</w:t>
      </w:r>
      <w:r>
        <w:rPr>
          <w:noProof/>
        </w:rPr>
        <w:t xml:space="preserve"> модель готового изделия</w:t>
      </w:r>
    </w:p>
    <w:p w14:paraId="4F21F795" w14:textId="7E72ACDC" w:rsidR="008077F9" w:rsidRDefault="008077F9" w:rsidP="00922836">
      <w:pPr>
        <w:pStyle w:val="af3"/>
        <w:ind w:firstLine="708"/>
      </w:pPr>
      <w:r>
        <w:t xml:space="preserve">Переключение режимов работы осуществляется с ИК </w:t>
      </w:r>
      <w:proofErr w:type="gramStart"/>
      <w:r>
        <w:t>пульта(</w:t>
      </w:r>
      <w:proofErr w:type="gramEnd"/>
      <w:r>
        <w:t>рисунок 4) или кнопкой  расположенной на плате.</w:t>
      </w:r>
    </w:p>
    <w:p w14:paraId="6523FAA6" w14:textId="77777777" w:rsidR="008077F9" w:rsidRDefault="008077F9" w:rsidP="008077F9">
      <w:pPr>
        <w:pStyle w:val="af5"/>
      </w:pPr>
      <w:r>
        <w:rPr>
          <w:noProof/>
          <w:lang w:eastAsia="ru-RU"/>
        </w:rPr>
        <w:drawing>
          <wp:inline distT="0" distB="0" distL="0" distR="0" wp14:anchorId="6D56CE60" wp14:editId="669AEA6B">
            <wp:extent cx="4552315" cy="34764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204" cy="35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A53F" w14:textId="04B63124" w:rsidR="008077F9" w:rsidRDefault="008077F9" w:rsidP="008077F9">
      <w:pPr>
        <w:pStyle w:val="af5"/>
      </w:pPr>
      <w:r>
        <w:t>Рисунок</w:t>
      </w:r>
      <w:r w:rsidR="00CF3FF8">
        <w:t xml:space="preserve"> –</w:t>
      </w:r>
      <w:r>
        <w:t xml:space="preserve"> </w:t>
      </w:r>
      <w:fldSimple w:instr=" SEQ Рисунок \* ARABIC ">
        <w:r>
          <w:rPr>
            <w:noProof/>
          </w:rPr>
          <w:t>4</w:t>
        </w:r>
      </w:fldSimple>
      <w:r>
        <w:t xml:space="preserve"> ИК-пульт для управления </w:t>
      </w:r>
      <w:r w:rsidR="00A14EFB">
        <w:t>модулем светомузыки</w:t>
      </w:r>
    </w:p>
    <w:p w14:paraId="13F72DCB" w14:textId="1201684E" w:rsidR="008077F9" w:rsidRDefault="008077F9" w:rsidP="00922836">
      <w:pPr>
        <w:pStyle w:val="af3"/>
        <w:ind w:firstLine="708"/>
      </w:pPr>
      <w:r>
        <w:lastRenderedPageBreak/>
        <w:t xml:space="preserve">Основных режимов работы 9. Выбор осуществляется при помощи нажатия кнопок на пульте с 1 по 9. Уровень чувствительности подстраивается горизонтальными клавишами, скорость анимации-вертикальными. Кнопка «*» отвечает замену </w:t>
      </w:r>
      <w:proofErr w:type="spellStart"/>
      <w:r>
        <w:t>подрежимов</w:t>
      </w:r>
      <w:proofErr w:type="spellEnd"/>
      <w:r>
        <w:t>.</w:t>
      </w:r>
      <w:r w:rsidR="00CE3ADB">
        <w:t xml:space="preserve"> Кнопка </w:t>
      </w:r>
      <w:r w:rsidR="00477EDD">
        <w:t>«Ок» производит калибровку по уровню шума в аудиосистеме, когда громкость музыки стоит на паузе</w:t>
      </w:r>
      <w:r w:rsidR="00DC3DF2">
        <w:t>.</w:t>
      </w:r>
    </w:p>
    <w:p w14:paraId="4033248B" w14:textId="43140B87" w:rsidR="00FA0665" w:rsidRDefault="00FA0665" w:rsidP="008077F9">
      <w:pPr>
        <w:pStyle w:val="af3"/>
      </w:pPr>
      <w:r>
        <w:t>Резервными же органами управления являются две механических кнопки на самой печатной плате: белая отвечает за включение/выключение</w:t>
      </w:r>
      <w:r w:rsidR="00DC3DF2">
        <w:t xml:space="preserve">, </w:t>
      </w:r>
      <w:proofErr w:type="gramStart"/>
      <w:r w:rsidR="00DC3DF2">
        <w:t>а  чёрная</w:t>
      </w:r>
      <w:proofErr w:type="gramEnd"/>
      <w:r w:rsidR="00DC3DF2">
        <w:t>- за переключение режимов по нажатию и калибровку по уровню шума при зажатии в течении трёх секунд</w:t>
      </w:r>
      <w:r w:rsidR="005A7014">
        <w:t>.</w:t>
      </w:r>
    </w:p>
    <w:p w14:paraId="3A0C019A" w14:textId="0F7CF7F4" w:rsidR="007A437E" w:rsidRDefault="007A437E" w:rsidP="007A437E">
      <w:pPr>
        <w:pStyle w:val="af3"/>
      </w:pPr>
      <w:r>
        <w:t>В результате работы были достигнуты следующие цели:</w:t>
      </w:r>
    </w:p>
    <w:p w14:paraId="735A6B95" w14:textId="52669A4C" w:rsidR="007A437E" w:rsidRDefault="007A437E" w:rsidP="007A437E">
      <w:pPr>
        <w:pStyle w:val="af3"/>
        <w:numPr>
          <w:ilvl w:val="0"/>
          <w:numId w:val="4"/>
        </w:numPr>
      </w:pPr>
      <w:r>
        <w:t>Снижение стоимости изделия на 60%</w:t>
      </w:r>
    </w:p>
    <w:p w14:paraId="453A3179" w14:textId="0121D5F6" w:rsidR="007A437E" w:rsidRDefault="007A437E" w:rsidP="007A437E">
      <w:pPr>
        <w:pStyle w:val="af3"/>
        <w:numPr>
          <w:ilvl w:val="0"/>
          <w:numId w:val="4"/>
        </w:numPr>
      </w:pPr>
      <w:r>
        <w:t>Снижение площади печатной платы на 45%</w:t>
      </w:r>
    </w:p>
    <w:p w14:paraId="0A1A0135" w14:textId="6DDBD705" w:rsidR="007A437E" w:rsidRDefault="007A437E" w:rsidP="007A437E">
      <w:pPr>
        <w:pStyle w:val="af3"/>
        <w:numPr>
          <w:ilvl w:val="0"/>
          <w:numId w:val="4"/>
        </w:numPr>
      </w:pPr>
      <w:r>
        <w:t xml:space="preserve">Заложена возможность использования как внутреннего источника питания </w:t>
      </w:r>
      <w:r w:rsidR="000352AE">
        <w:t>светодиодной ленты, так и внешнего</w:t>
      </w:r>
    </w:p>
    <w:p w14:paraId="25D4C06C" w14:textId="65E7684D" w:rsidR="000352AE" w:rsidRDefault="000352AE" w:rsidP="007A437E">
      <w:pPr>
        <w:pStyle w:val="af3"/>
        <w:numPr>
          <w:ilvl w:val="0"/>
          <w:numId w:val="4"/>
        </w:numPr>
      </w:pPr>
      <w:r>
        <w:t>Снижение чувствительности к ЭМ, и как следствие улучшение характеристик электромагнитной совместимости</w:t>
      </w:r>
    </w:p>
    <w:p w14:paraId="215C2CD3" w14:textId="34A8519A" w:rsidR="00C72B09" w:rsidRDefault="009779AA" w:rsidP="00441F20">
      <w:pPr>
        <w:pStyle w:val="af3"/>
      </w:pPr>
      <w:r>
        <w:t>Так же разработан</w:t>
      </w:r>
      <w:r w:rsidR="000853F7">
        <w:t xml:space="preserve"> </w:t>
      </w:r>
      <w:r>
        <w:t>пакет технической документации</w:t>
      </w:r>
      <w:r w:rsidR="000853F7">
        <w:t xml:space="preserve"> к изделию.</w:t>
      </w:r>
    </w:p>
    <w:p w14:paraId="5C42F6F9" w14:textId="77777777" w:rsidR="00B45C2D" w:rsidRPr="00D077E4" w:rsidRDefault="00B45C2D" w:rsidP="00B45C2D">
      <w:pPr>
        <w:spacing w:before="240" w:after="0" w:line="240" w:lineRule="auto"/>
        <w:ind w:firstLine="567"/>
        <w:jc w:val="center"/>
        <w:rPr>
          <w:sz w:val="20"/>
          <w:szCs w:val="20"/>
        </w:rPr>
      </w:pPr>
      <w:r w:rsidRPr="00D077E4">
        <w:rPr>
          <w:sz w:val="20"/>
          <w:szCs w:val="20"/>
        </w:rPr>
        <w:t>Литература</w:t>
      </w:r>
    </w:p>
    <w:p w14:paraId="1009950A" w14:textId="77777777" w:rsidR="00B45C2D" w:rsidRPr="00314D82" w:rsidRDefault="00B45C2D" w:rsidP="00B45C2D">
      <w:pPr>
        <w:spacing w:line="9" w:lineRule="exact"/>
        <w:rPr>
          <w:szCs w:val="20"/>
        </w:rPr>
      </w:pPr>
    </w:p>
    <w:p w14:paraId="5AA7474B" w14:textId="294CAB7C" w:rsidR="00B45C2D" w:rsidRPr="0027575A" w:rsidRDefault="003E1EBA" w:rsidP="00B45C2D">
      <w:pPr>
        <w:numPr>
          <w:ilvl w:val="0"/>
          <w:numId w:val="5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r>
        <w:rPr>
          <w:rFonts w:eastAsia="Times New Roman" w:cs="Times New Roman"/>
          <w:sz w:val="20"/>
          <w:szCs w:val="26"/>
          <w:lang w:eastAsia="ru-RU"/>
        </w:rPr>
        <w:t>Ссылка на прошлогоднею статью</w:t>
      </w:r>
      <w:r w:rsidR="00B45C2D" w:rsidRPr="0027575A">
        <w:rPr>
          <w:rFonts w:eastAsia="Times New Roman" w:cs="Times New Roman"/>
          <w:sz w:val="20"/>
          <w:szCs w:val="26"/>
          <w:lang w:eastAsia="ru-RU"/>
        </w:rPr>
        <w:t>.</w:t>
      </w:r>
    </w:p>
    <w:p w14:paraId="5E66FDF5" w14:textId="7C055695" w:rsidR="00B45C2D" w:rsidRPr="003E1EBA" w:rsidRDefault="003E1EBA" w:rsidP="003E1EBA">
      <w:pPr>
        <w:numPr>
          <w:ilvl w:val="0"/>
          <w:numId w:val="5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bookmarkStart w:id="0" w:name="_GoBack"/>
      <w:r>
        <w:rPr>
          <w:rFonts w:eastAsia="Times New Roman" w:cs="Times New Roman"/>
          <w:sz w:val="20"/>
          <w:szCs w:val="26"/>
          <w:lang w:eastAsia="ru-RU"/>
        </w:rPr>
        <w:t>Про</w:t>
      </w:r>
      <w:r w:rsidR="00B45C2D" w:rsidRPr="003E1EBA">
        <w:rPr>
          <w:rFonts w:eastAsia="Times New Roman" w:cs="Times New Roman"/>
          <w:sz w:val="20"/>
          <w:szCs w:val="26"/>
          <w:lang w:eastAsia="ru-RU"/>
        </w:rPr>
        <w:t xml:space="preserve">граммирование на языке Си: Учеб. пособие / Авторы: В.В </w:t>
      </w:r>
      <w:proofErr w:type="spellStart"/>
      <w:r w:rsidR="00B45C2D" w:rsidRPr="003E1EBA">
        <w:rPr>
          <w:rFonts w:eastAsia="Times New Roman" w:cs="Times New Roman"/>
          <w:sz w:val="20"/>
          <w:szCs w:val="26"/>
          <w:lang w:eastAsia="ru-RU"/>
        </w:rPr>
        <w:t>Подбельский</w:t>
      </w:r>
      <w:proofErr w:type="spellEnd"/>
      <w:r w:rsidR="00B45C2D" w:rsidRPr="003E1EBA">
        <w:rPr>
          <w:rFonts w:eastAsia="Times New Roman" w:cs="Times New Roman"/>
          <w:sz w:val="20"/>
          <w:szCs w:val="26"/>
          <w:lang w:eastAsia="ru-RU"/>
        </w:rPr>
        <w:t>,</w:t>
      </w:r>
      <w:r>
        <w:rPr>
          <w:rFonts w:eastAsia="Times New Roman" w:cs="Times New Roman"/>
          <w:sz w:val="20"/>
          <w:szCs w:val="26"/>
          <w:lang w:eastAsia="ru-RU"/>
        </w:rPr>
        <w:t xml:space="preserve"> </w:t>
      </w:r>
      <w:r w:rsidR="00B45C2D" w:rsidRPr="003E1EBA">
        <w:rPr>
          <w:rFonts w:eastAsia="Times New Roman" w:cs="Times New Roman"/>
          <w:sz w:val="20"/>
          <w:szCs w:val="26"/>
          <w:lang w:eastAsia="ru-RU"/>
        </w:rPr>
        <w:t>С.С. Фомин / Изд. 2-е доп. – М.: Финансы и статистика, 2004. – 600 с.: ил.. - с. 91 - 99</w:t>
      </w:r>
      <w:bookmarkEnd w:id="0"/>
      <w:r w:rsidR="00B45C2D" w:rsidRPr="003E1EBA">
        <w:rPr>
          <w:rFonts w:eastAsia="Times New Roman" w:cs="Times New Roman"/>
          <w:sz w:val="20"/>
          <w:szCs w:val="26"/>
          <w:lang w:eastAsia="ru-RU"/>
        </w:rPr>
        <w:t>.</w:t>
      </w:r>
    </w:p>
    <w:p w14:paraId="24BEA41E" w14:textId="4414F2A2" w:rsidR="00D90A2B" w:rsidRPr="008077F9" w:rsidRDefault="00D90A2B" w:rsidP="008077F9">
      <w:pPr>
        <w:pStyle w:val="af3"/>
      </w:pPr>
    </w:p>
    <w:sectPr w:rsidR="00D90A2B" w:rsidRPr="0080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A874F520"/>
    <w:lvl w:ilvl="0" w:tplc="8B3031A4">
      <w:start w:val="1"/>
      <w:numFmt w:val="decimal"/>
      <w:lvlText w:val="%1."/>
      <w:lvlJc w:val="left"/>
    </w:lvl>
    <w:lvl w:ilvl="1" w:tplc="BA3C04CE">
      <w:numFmt w:val="decimal"/>
      <w:lvlText w:val=""/>
      <w:lvlJc w:val="left"/>
    </w:lvl>
    <w:lvl w:ilvl="2" w:tplc="C7B03FEE">
      <w:numFmt w:val="decimal"/>
      <w:lvlText w:val=""/>
      <w:lvlJc w:val="left"/>
    </w:lvl>
    <w:lvl w:ilvl="3" w:tplc="F61ACFFA">
      <w:numFmt w:val="decimal"/>
      <w:lvlText w:val=""/>
      <w:lvlJc w:val="left"/>
    </w:lvl>
    <w:lvl w:ilvl="4" w:tplc="292CE53E">
      <w:numFmt w:val="decimal"/>
      <w:lvlText w:val=""/>
      <w:lvlJc w:val="left"/>
    </w:lvl>
    <w:lvl w:ilvl="5" w:tplc="025E08AC">
      <w:numFmt w:val="decimal"/>
      <w:lvlText w:val=""/>
      <w:lvlJc w:val="left"/>
    </w:lvl>
    <w:lvl w:ilvl="6" w:tplc="163AF38E">
      <w:numFmt w:val="decimal"/>
      <w:lvlText w:val=""/>
      <w:lvlJc w:val="left"/>
    </w:lvl>
    <w:lvl w:ilvl="7" w:tplc="49C8E904">
      <w:numFmt w:val="decimal"/>
      <w:lvlText w:val=""/>
      <w:lvlJc w:val="left"/>
    </w:lvl>
    <w:lvl w:ilvl="8" w:tplc="C26E78D8">
      <w:numFmt w:val="decimal"/>
      <w:lvlText w:val=""/>
      <w:lvlJc w:val="left"/>
    </w:lvl>
  </w:abstractNum>
  <w:abstractNum w:abstractNumId="1" w15:restartNumberingAfterBreak="0">
    <w:nsid w:val="16130DAE"/>
    <w:multiLevelType w:val="hybridMultilevel"/>
    <w:tmpl w:val="053C1A52"/>
    <w:lvl w:ilvl="0" w:tplc="954AE1C8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94EFE"/>
    <w:multiLevelType w:val="hybridMultilevel"/>
    <w:tmpl w:val="4E2A399E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F6F"/>
    <w:rsid w:val="000352AE"/>
    <w:rsid w:val="000473EA"/>
    <w:rsid w:val="00057C4C"/>
    <w:rsid w:val="00061618"/>
    <w:rsid w:val="00064356"/>
    <w:rsid w:val="00072AB6"/>
    <w:rsid w:val="000853F7"/>
    <w:rsid w:val="00096120"/>
    <w:rsid w:val="000A6BB8"/>
    <w:rsid w:val="000D7572"/>
    <w:rsid w:val="000E7D2D"/>
    <w:rsid w:val="00115D16"/>
    <w:rsid w:val="0012174C"/>
    <w:rsid w:val="00132C76"/>
    <w:rsid w:val="00134C58"/>
    <w:rsid w:val="001354E3"/>
    <w:rsid w:val="00140146"/>
    <w:rsid w:val="00171E21"/>
    <w:rsid w:val="001C4385"/>
    <w:rsid w:val="001E2F1B"/>
    <w:rsid w:val="001E3F48"/>
    <w:rsid w:val="0021168E"/>
    <w:rsid w:val="002174DE"/>
    <w:rsid w:val="00261581"/>
    <w:rsid w:val="002619DB"/>
    <w:rsid w:val="002671D8"/>
    <w:rsid w:val="00282A31"/>
    <w:rsid w:val="002A115F"/>
    <w:rsid w:val="002D3FFC"/>
    <w:rsid w:val="002F4AC9"/>
    <w:rsid w:val="003123F1"/>
    <w:rsid w:val="00325B32"/>
    <w:rsid w:val="00355F1D"/>
    <w:rsid w:val="0036252A"/>
    <w:rsid w:val="003B4BC7"/>
    <w:rsid w:val="003C462A"/>
    <w:rsid w:val="003D6382"/>
    <w:rsid w:val="003E1EBA"/>
    <w:rsid w:val="00415053"/>
    <w:rsid w:val="00441F20"/>
    <w:rsid w:val="00477EDD"/>
    <w:rsid w:val="00486182"/>
    <w:rsid w:val="004A1A30"/>
    <w:rsid w:val="004B1916"/>
    <w:rsid w:val="004C39D8"/>
    <w:rsid w:val="004D36B5"/>
    <w:rsid w:val="00514988"/>
    <w:rsid w:val="00541B39"/>
    <w:rsid w:val="00556251"/>
    <w:rsid w:val="00566CDF"/>
    <w:rsid w:val="0056711C"/>
    <w:rsid w:val="005A1903"/>
    <w:rsid w:val="005A7014"/>
    <w:rsid w:val="005D3C0D"/>
    <w:rsid w:val="006050FB"/>
    <w:rsid w:val="0067237F"/>
    <w:rsid w:val="006B72CF"/>
    <w:rsid w:val="006C708F"/>
    <w:rsid w:val="006F0639"/>
    <w:rsid w:val="00710515"/>
    <w:rsid w:val="00711402"/>
    <w:rsid w:val="007335FA"/>
    <w:rsid w:val="007A437E"/>
    <w:rsid w:val="007A5E73"/>
    <w:rsid w:val="007B18F0"/>
    <w:rsid w:val="007C0F26"/>
    <w:rsid w:val="007C6860"/>
    <w:rsid w:val="007C74C1"/>
    <w:rsid w:val="008077F9"/>
    <w:rsid w:val="00823825"/>
    <w:rsid w:val="0082419C"/>
    <w:rsid w:val="00825BFE"/>
    <w:rsid w:val="00852E08"/>
    <w:rsid w:val="00871112"/>
    <w:rsid w:val="00875D16"/>
    <w:rsid w:val="008830C4"/>
    <w:rsid w:val="008A0C35"/>
    <w:rsid w:val="008D4DDB"/>
    <w:rsid w:val="00901C2A"/>
    <w:rsid w:val="00915695"/>
    <w:rsid w:val="00922836"/>
    <w:rsid w:val="009354E7"/>
    <w:rsid w:val="00967FCF"/>
    <w:rsid w:val="009779AA"/>
    <w:rsid w:val="00987CA6"/>
    <w:rsid w:val="009A2781"/>
    <w:rsid w:val="009A6ED7"/>
    <w:rsid w:val="00A14EFB"/>
    <w:rsid w:val="00A47160"/>
    <w:rsid w:val="00A636C8"/>
    <w:rsid w:val="00A80AC9"/>
    <w:rsid w:val="00AC1F6F"/>
    <w:rsid w:val="00AD1876"/>
    <w:rsid w:val="00AD3494"/>
    <w:rsid w:val="00AF180B"/>
    <w:rsid w:val="00AF3FA1"/>
    <w:rsid w:val="00B0241D"/>
    <w:rsid w:val="00B409E7"/>
    <w:rsid w:val="00B45C2D"/>
    <w:rsid w:val="00B515B7"/>
    <w:rsid w:val="00B962EA"/>
    <w:rsid w:val="00C0080A"/>
    <w:rsid w:val="00C11907"/>
    <w:rsid w:val="00C64FC8"/>
    <w:rsid w:val="00C70274"/>
    <w:rsid w:val="00C72B09"/>
    <w:rsid w:val="00CA2169"/>
    <w:rsid w:val="00CC0496"/>
    <w:rsid w:val="00CE3ADB"/>
    <w:rsid w:val="00CF3FF8"/>
    <w:rsid w:val="00CF7933"/>
    <w:rsid w:val="00D022C7"/>
    <w:rsid w:val="00D06B1A"/>
    <w:rsid w:val="00D152A7"/>
    <w:rsid w:val="00D55683"/>
    <w:rsid w:val="00D677B0"/>
    <w:rsid w:val="00D83D2D"/>
    <w:rsid w:val="00D90A2B"/>
    <w:rsid w:val="00DC3DF2"/>
    <w:rsid w:val="00DF3405"/>
    <w:rsid w:val="00DF6377"/>
    <w:rsid w:val="00E06976"/>
    <w:rsid w:val="00E24FFB"/>
    <w:rsid w:val="00E44D7A"/>
    <w:rsid w:val="00E67B9E"/>
    <w:rsid w:val="00E7191B"/>
    <w:rsid w:val="00E87D8F"/>
    <w:rsid w:val="00E96366"/>
    <w:rsid w:val="00EA69A8"/>
    <w:rsid w:val="00F42C1B"/>
    <w:rsid w:val="00F47EED"/>
    <w:rsid w:val="00FA0665"/>
    <w:rsid w:val="00FA71C3"/>
    <w:rsid w:val="00FC479A"/>
    <w:rsid w:val="00FD4F84"/>
    <w:rsid w:val="00FE4ED0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6718"/>
  <w15:docId w15:val="{B89C6AC8-BDD4-4C5E-98D8-44D096AF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5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6">
    <w:name w:val="Основной"/>
    <w:basedOn w:val="a0"/>
    <w:link w:val="a7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</w:rPr>
  </w:style>
  <w:style w:type="character" w:customStyle="1" w:styleId="a7">
    <w:name w:val="Основной Знак"/>
    <w:link w:val="a6"/>
    <w:rsid w:val="000E7D2D"/>
    <w:rPr>
      <w:rFonts w:ascii="Times New Roman" w:eastAsia="SimSun" w:hAnsi="Times New Roman" w:cs="Times New Roman"/>
      <w:sz w:val="28"/>
      <w:szCs w:val="28"/>
    </w:rPr>
  </w:style>
  <w:style w:type="paragraph" w:styleId="a8">
    <w:name w:val="annotation text"/>
    <w:basedOn w:val="a0"/>
    <w:link w:val="a9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E7D2D"/>
    <w:rPr>
      <w:rFonts w:ascii="Segoe UI" w:hAnsi="Segoe UI" w:cs="Segoe UI"/>
      <w:sz w:val="18"/>
      <w:szCs w:val="18"/>
    </w:rPr>
  </w:style>
  <w:style w:type="paragraph" w:customStyle="1" w:styleId="a">
    <w:name w:val="Ненумерованный список"/>
    <w:basedOn w:val="a0"/>
    <w:qFormat/>
    <w:rsid w:val="00CA2169"/>
    <w:pPr>
      <w:numPr>
        <w:numId w:val="3"/>
      </w:numPr>
      <w:tabs>
        <w:tab w:val="left" w:pos="851"/>
      </w:tabs>
      <w:spacing w:after="0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ВЫАЛВЛЫАО"/>
    <w:basedOn w:val="a0"/>
    <w:link w:val="ad"/>
    <w:qFormat/>
    <w:rsid w:val="00CA2169"/>
    <w:pPr>
      <w:tabs>
        <w:tab w:val="left" w:pos="4820"/>
      </w:tabs>
      <w:spacing w:after="240"/>
      <w:ind w:firstLine="709"/>
      <w:jc w:val="center"/>
    </w:pPr>
    <w:rPr>
      <w:rFonts w:eastAsia="Calibri" w:cs="Times New Roman"/>
      <w:sz w:val="24"/>
      <w:szCs w:val="28"/>
    </w:rPr>
  </w:style>
  <w:style w:type="character" w:customStyle="1" w:styleId="ad">
    <w:name w:val="ВЫАЛВЛЫАО Знак"/>
    <w:link w:val="ac"/>
    <w:rsid w:val="00CA2169"/>
    <w:rPr>
      <w:rFonts w:ascii="Times New Roman" w:eastAsia="Calibri" w:hAnsi="Times New Roman" w:cs="Times New Roman"/>
      <w:sz w:val="24"/>
      <w:szCs w:val="28"/>
    </w:rPr>
  </w:style>
  <w:style w:type="paragraph" w:customStyle="1" w:styleId="ae">
    <w:name w:val="текст нормальный"/>
    <w:basedOn w:val="a0"/>
    <w:link w:val="af"/>
    <w:qFormat/>
    <w:rsid w:val="00CF7933"/>
    <w:pPr>
      <w:spacing w:after="0"/>
      <w:ind w:firstLine="709"/>
      <w:jc w:val="both"/>
    </w:pPr>
    <w:rPr>
      <w:rFonts w:eastAsia="Calibri" w:cs="Times New Roman"/>
      <w:noProof/>
      <w:szCs w:val="28"/>
    </w:rPr>
  </w:style>
  <w:style w:type="character" w:customStyle="1" w:styleId="af">
    <w:name w:val="текст нормальный Знак"/>
    <w:link w:val="ae"/>
    <w:rsid w:val="00CF7933"/>
    <w:rPr>
      <w:rFonts w:ascii="Times New Roman" w:eastAsia="Calibri" w:hAnsi="Times New Roman" w:cs="Times New Roman"/>
      <w:noProof/>
      <w:sz w:val="28"/>
      <w:szCs w:val="28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6C708F"/>
    <w:pPr>
      <w:spacing w:line="240" w:lineRule="auto"/>
    </w:pPr>
    <w:rPr>
      <w:rFonts w:ascii="Times New Roman" w:eastAsiaTheme="minorHAnsi" w:hAnsi="Times New Roman" w:cstheme="minorBidi"/>
      <w:b/>
      <w:bCs/>
    </w:rPr>
  </w:style>
  <w:style w:type="character" w:customStyle="1" w:styleId="af1">
    <w:name w:val="Тема примечания Знак"/>
    <w:basedOn w:val="a9"/>
    <w:link w:val="af0"/>
    <w:uiPriority w:val="99"/>
    <w:semiHidden/>
    <w:rsid w:val="006C708F"/>
    <w:rPr>
      <w:rFonts w:ascii="Times New Roman" w:eastAsia="Calibri" w:hAnsi="Times New Roman" w:cs="Calibri"/>
      <w:b/>
      <w:bCs/>
      <w:sz w:val="20"/>
      <w:szCs w:val="20"/>
    </w:rPr>
  </w:style>
  <w:style w:type="table" w:styleId="af2">
    <w:name w:val="Table Grid"/>
    <w:basedOn w:val="a2"/>
    <w:uiPriority w:val="39"/>
    <w:rsid w:val="00F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Доклад основной"/>
    <w:basedOn w:val="a0"/>
    <w:link w:val="af4"/>
    <w:qFormat/>
    <w:rsid w:val="002619DB"/>
    <w:pPr>
      <w:spacing w:after="0" w:line="240" w:lineRule="auto"/>
      <w:ind w:firstLine="709"/>
      <w:jc w:val="both"/>
    </w:pPr>
    <w:rPr>
      <w:rFonts w:eastAsia="Times New Roman" w:cs="Times New Roman"/>
      <w:szCs w:val="28"/>
      <w:lang w:eastAsia="ru-RU"/>
    </w:rPr>
  </w:style>
  <w:style w:type="paragraph" w:customStyle="1" w:styleId="af5">
    <w:name w:val="Доклад рисунок"/>
    <w:basedOn w:val="a0"/>
    <w:link w:val="af6"/>
    <w:qFormat/>
    <w:rsid w:val="00355F1D"/>
    <w:pPr>
      <w:tabs>
        <w:tab w:val="left" w:pos="851"/>
      </w:tabs>
      <w:jc w:val="center"/>
    </w:pPr>
  </w:style>
  <w:style w:type="character" w:customStyle="1" w:styleId="af4">
    <w:name w:val="Доклад основной Знак"/>
    <w:basedOn w:val="a1"/>
    <w:link w:val="af3"/>
    <w:rsid w:val="002619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Доклад рисунок Знак"/>
    <w:basedOn w:val="a1"/>
    <w:link w:val="af5"/>
    <w:rsid w:val="00355F1D"/>
    <w:rPr>
      <w:rFonts w:ascii="Times New Roman" w:hAnsi="Times New Roman"/>
      <w:sz w:val="28"/>
    </w:rPr>
  </w:style>
  <w:style w:type="character" w:styleId="af7">
    <w:name w:val="Hyperlink"/>
    <w:basedOn w:val="a1"/>
    <w:uiPriority w:val="99"/>
    <w:unhideWhenUsed/>
    <w:rsid w:val="00875D16"/>
    <w:rPr>
      <w:color w:val="0563C1" w:themeColor="hyperlink"/>
      <w:u w:val="single"/>
    </w:rPr>
  </w:style>
  <w:style w:type="paragraph" w:styleId="af8">
    <w:name w:val="List Paragraph"/>
    <w:basedOn w:val="a0"/>
    <w:uiPriority w:val="34"/>
    <w:qFormat/>
    <w:rsid w:val="003E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127</cp:revision>
  <dcterms:created xsi:type="dcterms:W3CDTF">2020-09-21T18:23:00Z</dcterms:created>
  <dcterms:modified xsi:type="dcterms:W3CDTF">2020-10-14T17:58:00Z</dcterms:modified>
</cp:coreProperties>
</file>