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IT设备采购合同</w:t>
      </w:r>
    </w:p>
    <w:p>
      <w:pPr>
        <w:ind w:left="720"/>
      </w:pPr>
      <w:r>
        <w:rPr>
          <w:i/>
          <w:color w:val="555555"/>
        </w:rPr>
        <w:t>合同背景说明</w:t>
      </w:r>
    </w:p>
    <w:p>
      <w:pPr>
        <w:ind w:left="720"/>
      </w:pPr>
      <w:r>
        <w:rPr>
          <w:i/>
          <w:color w:val="555555"/>
        </w:rPr>
      </w:r>
    </w:p>
    <w:p>
      <w:pPr>
        <w:ind w:left="720"/>
      </w:pPr>
      <w:r>
        <w:rPr>
          <w:i/>
          <w:color w:val="555555"/>
        </w:rPr>
        <w:t>甲方（某股份制商业银行总行）因核心业务系统信创改造需要，拟采购国产化服务器、分布式存储及网络交换设备，替换现有进口设备集群。本项目属于甲方"十四五"信息科技规划重点项目，涉及核心交易系统、信贷管理系统及数据仓库三大业务系统的硬件底座升级。乙方（某信创科技集团有限公司）为国内领先的信创基础设施供应商，具备金融行业信创设备供应及集成服务能力。本合同总价款人民币1200万元，包含设备供货、安装调试、定制固件开发及三年质保服务。</w:t>
      </w:r>
    </w:p>
    <w:p>
      <w:r>
        <w:t>──────────────────────────────────────────────────</w:t>
      </w:r>
    </w:p>
    <w:p>
      <w:r>
        <w:t>合同编号： CG-IT-2026-0048</w:t>
      </w:r>
    </w:p>
    <w:p>
      <w:r>
        <w:t>签订日期： 2026年6月18日</w:t>
      </w:r>
    </w:p>
    <w:p>
      <w:r>
        <w:t>签订地点： 北京市西城区金融大街甲15号</w:t>
      </w:r>
    </w:p>
    <w:p>
      <w:r>
        <w:t>──────────────────────────────────────────────────</w:t>
      </w:r>
    </w:p>
    <w:p>
      <w:pPr>
        <w:pStyle w:val="Heading2"/>
      </w:pPr>
      <w:r>
        <w:t>甲方（采购方）</w:t>
      </w:r>
    </w:p>
    <w:p>
      <w:pPr>
        <w:pStyle w:val="ListBullet"/>
      </w:pPr>
      <w:r>
        <w:t>名称： 华信银行股份有限公司</w:t>
      </w:r>
    </w:p>
    <w:p>
      <w:pPr>
        <w:pStyle w:val="ListBullet"/>
      </w:pPr>
      <w:r>
        <w:t>统一社会信用代码： 91110000MA12345678</w:t>
      </w:r>
    </w:p>
    <w:p>
      <w:pPr>
        <w:pStyle w:val="ListBullet"/>
      </w:pPr>
      <w:r>
        <w:t>法定代表人： 张建国</w:t>
      </w:r>
    </w:p>
    <w:p>
      <w:pPr>
        <w:pStyle w:val="ListBullet"/>
      </w:pPr>
      <w:r>
        <w:t>地址： 北京市西城区金融大街甲15号华信银行大厦</w:t>
      </w:r>
    </w:p>
    <w:p>
      <w:pPr>
        <w:pStyle w:val="ListBullet"/>
      </w:pPr>
      <w:r>
        <w:t>联系人： 李明（信息技术部总经理）</w:t>
      </w:r>
    </w:p>
    <w:p>
      <w:pPr>
        <w:pStyle w:val="ListBullet"/>
      </w:pPr>
      <w:r>
        <w:t>联系电话： 010-8888-6666</w:t>
      </w:r>
    </w:p>
    <w:p>
      <w:pPr>
        <w:pStyle w:val="ListBullet"/>
      </w:pPr>
      <w:r>
        <w:t>电子邮箱： liming@huaxinbank.com</w:t>
      </w:r>
    </w:p>
    <w:p>
      <w:pPr>
        <w:pStyle w:val="Heading2"/>
      </w:pPr>
      <w:r>
        <w:t>乙方（供应商）</w:t>
      </w:r>
    </w:p>
    <w:p>
      <w:pPr>
        <w:pStyle w:val="ListBullet"/>
      </w:pPr>
      <w:r>
        <w:t>名称： 鼎创信通科技集团有限公司</w:t>
      </w:r>
    </w:p>
    <w:p>
      <w:pPr>
        <w:pStyle w:val="ListBullet"/>
      </w:pPr>
      <w:r>
        <w:t>统一社会信用代码： 91440300MA98765432</w:t>
      </w:r>
    </w:p>
    <w:p>
      <w:pPr>
        <w:pStyle w:val="ListBullet"/>
      </w:pPr>
      <w:r>
        <w:t>法定代表人： 王志强</w:t>
      </w:r>
    </w:p>
    <w:p>
      <w:pPr>
        <w:pStyle w:val="ListBullet"/>
      </w:pPr>
      <w:r>
        <w:t>地址： 深圳市南山区科技园南区鼎创大厦18层</w:t>
      </w:r>
    </w:p>
    <w:p>
      <w:pPr>
        <w:pStyle w:val="ListBullet"/>
      </w:pPr>
      <w:r>
        <w:t>联系人： 赵敏（金融事业部总监）</w:t>
      </w:r>
    </w:p>
    <w:p>
      <w:pPr>
        <w:pStyle w:val="ListBullet"/>
      </w:pPr>
      <w:r>
        <w:t>联系电话： 0755-2688-8888</w:t>
      </w:r>
    </w:p>
    <w:p>
      <w:pPr>
        <w:pStyle w:val="ListBullet"/>
      </w:pPr>
      <w:r>
        <w:t>电子邮箱： zhaomin@dingchuang-tech.com</w:t>
      </w:r>
    </w:p>
    <w:p>
      <w:r>
        <w:t>──────────────────────────────────────────────────</w:t>
      </w:r>
    </w:p>
    <w:p>
      <w:pPr>
        <w:pStyle w:val="Heading2"/>
      </w:pPr>
      <w:r>
        <w:t>第一条 定义与解释</w:t>
      </w:r>
    </w:p>
    <w:p>
      <w:r>
        <w:t>1.1 "合同设备" 指本合同附件一所列的全部服务器、存储设备、网络设备及其配套的软件许可、线缆、配件等。</w:t>
      </w:r>
    </w:p>
    <w:p>
      <w:r>
        <w:t>1.2 "定制固件" 指乙方根据甲方业务需求定制开发的设备固件程序，包括但不限于BIOS定制、BMC管理固件定制、存储控制器固件定制等。</w:t>
      </w:r>
    </w:p>
    <w:p>
      <w:r>
        <w:t>1.3 "验收合格" 指甲方按照本合同约定的验收标准和程序，对合同设备进行检测并出具验收合格确认书。</w:t>
      </w:r>
    </w:p>
    <w:p>
      <w:r>
        <w:t>1.4 "质保期" 指自验收合格之日起计算的设备质量保证期限。</w:t>
      </w:r>
    </w:p>
    <w:p>
      <w:r>
        <w:t>1.5 "信创标准" 指国家及行业关于信息技术应用创新的相关技术标准和规范要求。</w:t>
      </w:r>
    </w:p>
    <w:p>
      <w:r>
        <w:t>1.6 "工作日" 指中华人民共和国法定工作日，不包括法定节假日和休息日。</w:t>
      </w:r>
    </w:p>
    <w:p>
      <w:pPr>
        <w:pStyle w:val="Heading2"/>
      </w:pPr>
      <w:r>
        <w:t>第二条 合同标的与范围</w:t>
      </w:r>
    </w:p>
    <w:p>
      <w:r>
        <w:t>2.1 甲方同意向乙方采购，乙方同意向甲方供应以下设备及服务：</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设备类别</w:t>
            </w:r>
          </w:p>
        </w:tc>
        <w:tc>
          <w:tcPr>
            <w:tcW w:type="dxa" w:w="1440"/>
          </w:tcPr>
          <w:p>
            <w:r>
              <w:t>品牌型号</w:t>
            </w:r>
          </w:p>
        </w:tc>
        <w:tc>
          <w:tcPr>
            <w:tcW w:type="dxa" w:w="1440"/>
          </w:tcPr>
          <w:p>
            <w:r>
              <w:t>数量</w:t>
            </w:r>
          </w:p>
        </w:tc>
        <w:tc>
          <w:tcPr>
            <w:tcW w:type="dxa" w:w="1440"/>
          </w:tcPr>
          <w:p>
            <w:r>
              <w:t>单价（万元）</w:t>
            </w:r>
          </w:p>
        </w:tc>
        <w:tc>
          <w:tcPr>
            <w:tcW w:type="dxa" w:w="1440"/>
          </w:tcPr>
          <w:p>
            <w:r>
              <w:t>小计（万元）</w:t>
            </w:r>
          </w:p>
        </w:tc>
      </w:tr>
      <w:tr>
        <w:tc>
          <w:tcPr>
            <w:tcW w:type="dxa" w:w="1440"/>
          </w:tcPr>
          <w:p>
            <w:r>
              <w:t>1</w:t>
            </w:r>
          </w:p>
        </w:tc>
        <w:tc>
          <w:tcPr>
            <w:tcW w:type="dxa" w:w="1440"/>
          </w:tcPr>
          <w:p>
            <w:r>
              <w:t>信创服务器</w:t>
            </w:r>
          </w:p>
        </w:tc>
        <w:tc>
          <w:tcPr>
            <w:tcW w:type="dxa" w:w="1440"/>
          </w:tcPr>
          <w:p>
            <w:r>
              <w:t>鼎创DC-S8200</w:t>
            </w:r>
          </w:p>
        </w:tc>
        <w:tc>
          <w:tcPr>
            <w:tcW w:type="dxa" w:w="1440"/>
          </w:tcPr>
          <w:p>
            <w:r>
              <w:t>40台</w:t>
            </w:r>
          </w:p>
        </w:tc>
        <w:tc>
          <w:tcPr>
            <w:tcW w:type="dxa" w:w="1440"/>
          </w:tcPr>
          <w:p>
            <w:r>
              <w:t>12.5</w:t>
            </w:r>
          </w:p>
        </w:tc>
        <w:tc>
          <w:tcPr>
            <w:tcW w:type="dxa" w:w="1440"/>
          </w:tcPr>
          <w:p>
            <w:r>
              <w:t>500</w:t>
            </w:r>
          </w:p>
        </w:tc>
      </w:tr>
      <w:tr>
        <w:tc>
          <w:tcPr>
            <w:tcW w:type="dxa" w:w="1440"/>
          </w:tcPr>
          <w:p>
            <w:r>
              <w:t>2</w:t>
            </w:r>
          </w:p>
        </w:tc>
        <w:tc>
          <w:tcPr>
            <w:tcW w:type="dxa" w:w="1440"/>
          </w:tcPr>
          <w:p>
            <w:r>
              <w:t>分布式存储</w:t>
            </w:r>
          </w:p>
        </w:tc>
        <w:tc>
          <w:tcPr>
            <w:tcW w:type="dxa" w:w="1440"/>
          </w:tcPr>
          <w:p>
            <w:r>
              <w:t>集群存储系统</w:t>
            </w:r>
          </w:p>
        </w:tc>
        <w:tc>
          <w:tcPr>
            <w:tcW w:type="dxa" w:w="1440"/>
          </w:tcPr>
          <w:p>
            <w:r>
              <w:t>1套</w:t>
            </w:r>
          </w:p>
        </w:tc>
        <w:tc>
          <w:tcPr>
            <w:tcW w:type="dxa" w:w="1440"/>
          </w:tcPr>
          <w:p>
            <w:r>
              <w:t>280</w:t>
            </w:r>
          </w:p>
        </w:tc>
        <w:tc>
          <w:tcPr>
            <w:tcW w:type="dxa" w:w="1440"/>
          </w:tcPr>
          <w:p>
            <w:r>
              <w:t>280</w:t>
            </w:r>
          </w:p>
        </w:tc>
      </w:tr>
      <w:tr>
        <w:tc>
          <w:tcPr>
            <w:tcW w:type="dxa" w:w="1440"/>
          </w:tcPr>
          <w:p>
            <w:r>
              <w:t>3</w:t>
            </w:r>
          </w:p>
        </w:tc>
        <w:tc>
          <w:tcPr>
            <w:tcW w:type="dxa" w:w="1440"/>
          </w:tcPr>
          <w:p>
            <w:r>
              <w:t>核心交换机</w:t>
            </w:r>
          </w:p>
        </w:tc>
        <w:tc>
          <w:tcPr>
            <w:tcW w:type="dxa" w:w="1440"/>
          </w:tcPr>
          <w:p>
            <w:r>
              <w:t>DC-SW9600</w:t>
            </w:r>
          </w:p>
        </w:tc>
        <w:tc>
          <w:tcPr>
            <w:tcW w:type="dxa" w:w="1440"/>
          </w:tcPr>
          <w:p>
            <w:r>
              <w:t>8台</w:t>
            </w:r>
          </w:p>
        </w:tc>
        <w:tc>
          <w:tcPr>
            <w:tcW w:type="dxa" w:w="1440"/>
          </w:tcPr>
          <w:p>
            <w:r>
              <w:t>15</w:t>
            </w:r>
          </w:p>
        </w:tc>
        <w:tc>
          <w:tcPr>
            <w:tcW w:type="dxa" w:w="1440"/>
          </w:tcPr>
          <w:p>
            <w:r>
              <w:t>120</w:t>
            </w:r>
          </w:p>
        </w:tc>
      </w:tr>
      <w:tr>
        <w:tc>
          <w:tcPr>
            <w:tcW w:type="dxa" w:w="1440"/>
          </w:tcPr>
          <w:p>
            <w:r>
              <w:t>4</w:t>
            </w:r>
          </w:p>
        </w:tc>
        <w:tc>
          <w:tcPr>
            <w:tcW w:type="dxa" w:w="1440"/>
          </w:tcPr>
          <w:p>
            <w:r>
              <w:t>接入交换机</w:t>
            </w:r>
          </w:p>
        </w:tc>
        <w:tc>
          <w:tcPr>
            <w:tcW w:type="dxa" w:w="1440"/>
          </w:tcPr>
          <w:p>
            <w:r>
              <w:t>DC-SW5200</w:t>
            </w:r>
          </w:p>
        </w:tc>
        <w:tc>
          <w:tcPr>
            <w:tcW w:type="dxa" w:w="1440"/>
          </w:tcPr>
          <w:p>
            <w:r>
              <w:t>24台</w:t>
            </w:r>
          </w:p>
        </w:tc>
        <w:tc>
          <w:tcPr>
            <w:tcW w:type="dxa" w:w="1440"/>
          </w:tcPr>
          <w:p>
            <w:r>
              <w:t>3.5</w:t>
            </w:r>
          </w:p>
        </w:tc>
        <w:tc>
          <w:tcPr>
            <w:tcW w:type="dxa" w:w="1440"/>
          </w:tcPr>
          <w:p>
            <w:r>
              <w:t>84</w:t>
            </w:r>
          </w:p>
        </w:tc>
      </w:tr>
      <w:tr>
        <w:tc>
          <w:tcPr>
            <w:tcW w:type="dxa" w:w="1440"/>
          </w:tcPr>
          <w:p>
            <w:r>
              <w:t>5</w:t>
            </w:r>
          </w:p>
        </w:tc>
        <w:tc>
          <w:tcPr>
            <w:tcW w:type="dxa" w:w="1440"/>
          </w:tcPr>
          <w:p>
            <w:r>
              <w:t>定制固件开发</w:t>
            </w:r>
          </w:p>
        </w:tc>
        <w:tc>
          <w:tcPr>
            <w:tcW w:type="dxa" w:w="1440"/>
          </w:tcPr>
          <w:p>
            <w:r>
              <w:t>—</w:t>
            </w:r>
          </w:p>
        </w:tc>
        <w:tc>
          <w:tcPr>
            <w:tcW w:type="dxa" w:w="1440"/>
          </w:tcPr>
          <w:p>
            <w:r>
              <w:t>1项</w:t>
            </w:r>
          </w:p>
        </w:tc>
        <w:tc>
          <w:tcPr>
            <w:tcW w:type="dxa" w:w="1440"/>
          </w:tcPr>
          <w:p>
            <w:r>
              <w:t>60</w:t>
            </w:r>
          </w:p>
        </w:tc>
        <w:tc>
          <w:tcPr>
            <w:tcW w:type="dxa" w:w="1440"/>
          </w:tcPr>
          <w:p>
            <w:r>
              <w:t>60</w:t>
            </w:r>
          </w:p>
        </w:tc>
      </w:tr>
      <w:tr>
        <w:tc>
          <w:tcPr>
            <w:tcW w:type="dxa" w:w="1440"/>
          </w:tcPr>
          <w:p>
            <w:r>
              <w:t>6</w:t>
            </w:r>
          </w:p>
        </w:tc>
        <w:tc>
          <w:tcPr>
            <w:tcW w:type="dxa" w:w="1440"/>
          </w:tcPr>
          <w:p>
            <w:r>
              <w:t>安装调试服务</w:t>
            </w:r>
          </w:p>
        </w:tc>
        <w:tc>
          <w:tcPr>
            <w:tcW w:type="dxa" w:w="1440"/>
          </w:tcPr>
          <w:p>
            <w:r>
              <w:t>—</w:t>
            </w:r>
          </w:p>
        </w:tc>
        <w:tc>
          <w:tcPr>
            <w:tcW w:type="dxa" w:w="1440"/>
          </w:tcPr>
          <w:p>
            <w:r>
              <w:t>1项</w:t>
            </w:r>
          </w:p>
        </w:tc>
        <w:tc>
          <w:tcPr>
            <w:tcW w:type="dxa" w:w="1440"/>
          </w:tcPr>
          <w:p>
            <w:r>
              <w:t>48</w:t>
            </w:r>
          </w:p>
        </w:tc>
        <w:tc>
          <w:tcPr>
            <w:tcW w:type="dxa" w:w="1440"/>
          </w:tcPr>
          <w:p>
            <w:r>
              <w:t>48</w:t>
            </w:r>
          </w:p>
        </w:tc>
      </w:tr>
      <w:tr>
        <w:tc>
          <w:tcPr>
            <w:tcW w:type="dxa" w:w="1440"/>
          </w:tcPr>
          <w:p>
            <w:r>
              <w:t>7</w:t>
            </w:r>
          </w:p>
        </w:tc>
        <w:tc>
          <w:tcPr>
            <w:tcW w:type="dxa" w:w="1440"/>
          </w:tcPr>
          <w:p>
            <w:r>
              <w:t>三年质保服务</w:t>
            </w:r>
          </w:p>
        </w:tc>
        <w:tc>
          <w:tcPr>
            <w:tcW w:type="dxa" w:w="1440"/>
          </w:tcPr>
          <w:p>
            <w:r>
              <w:t>—</w:t>
            </w:r>
          </w:p>
        </w:tc>
        <w:tc>
          <w:tcPr>
            <w:tcW w:type="dxa" w:w="1440"/>
          </w:tcPr>
          <w:p>
            <w:r>
              <w:t>1项</w:t>
            </w:r>
          </w:p>
        </w:tc>
        <w:tc>
          <w:tcPr>
            <w:tcW w:type="dxa" w:w="1440"/>
          </w:tcPr>
          <w:p>
            <w:r>
              <w:t>36</w:t>
            </w:r>
          </w:p>
        </w:tc>
        <w:tc>
          <w:tcPr>
            <w:tcW w:type="dxa" w:w="1440"/>
          </w:tcPr>
          <w:p>
            <w:r>
              <w:t>36</w:t>
            </w:r>
          </w:p>
        </w:tc>
      </w:tr>
      <w:tr>
        <w:tc>
          <w:tcPr>
            <w:tcW w:type="dxa" w:w="1440"/>
          </w:tcPr>
          <w:p>
            <w:r>
              <w:t>8</w:t>
            </w:r>
          </w:p>
        </w:tc>
        <w:tc>
          <w:tcPr>
            <w:tcW w:type="dxa" w:w="1440"/>
          </w:tcPr>
          <w:p>
            <w:r>
              <w:t>技术培训服务</w:t>
            </w:r>
          </w:p>
        </w:tc>
        <w:tc>
          <w:tcPr>
            <w:tcW w:type="dxa" w:w="1440"/>
          </w:tcPr>
          <w:p>
            <w:r>
              <w:t>—</w:t>
            </w:r>
          </w:p>
        </w:tc>
        <w:tc>
          <w:tcPr>
            <w:tcW w:type="dxa" w:w="1440"/>
          </w:tcPr>
          <w:p>
            <w:r>
              <w:t>1项</w:t>
            </w:r>
          </w:p>
        </w:tc>
        <w:tc>
          <w:tcPr>
            <w:tcW w:type="dxa" w:w="1440"/>
          </w:tcPr>
          <w:p>
            <w:r>
              <w:t>12</w:t>
            </w:r>
          </w:p>
        </w:tc>
        <w:tc>
          <w:tcPr>
            <w:tcW w:type="dxa" w:w="1440"/>
          </w:tcPr>
          <w:p>
            <w:r>
              <w:t>12</w:t>
            </w:r>
          </w:p>
        </w:tc>
      </w:tr>
      <w:tr>
        <w:tc>
          <w:tcPr>
            <w:tcW w:type="dxa" w:w="1440"/>
          </w:tcPr>
          <w:p>
            <w:r>
              <w:t>—</w:t>
            </w:r>
          </w:p>
        </w:tc>
        <w:tc>
          <w:tcPr>
            <w:tcW w:type="dxa" w:w="1440"/>
          </w:tcPr>
          <w:p>
            <w:r>
              <w:t>**合计**</w:t>
            </w:r>
          </w:p>
        </w:tc>
        <w:tc>
          <w:tcPr>
            <w:tcW w:type="dxa" w:w="1440"/>
          </w:tcPr>
          <w:p>
            <w:r>
              <w:t>—</w:t>
            </w:r>
          </w:p>
        </w:tc>
        <w:tc>
          <w:tcPr>
            <w:tcW w:type="dxa" w:w="1440"/>
          </w:tcPr>
          <w:p>
            <w:r>
              <w:t>—</w:t>
            </w:r>
          </w:p>
        </w:tc>
        <w:tc>
          <w:tcPr>
            <w:tcW w:type="dxa" w:w="1440"/>
          </w:tcPr>
          <w:p>
            <w:r>
              <w:t>—</w:t>
            </w:r>
          </w:p>
        </w:tc>
        <w:tc>
          <w:tcPr>
            <w:tcW w:type="dxa" w:w="1440"/>
          </w:tcPr>
          <w:p>
            <w:r>
              <w:t>**1140**</w:t>
            </w:r>
          </w:p>
        </w:tc>
      </w:tr>
    </w:tbl>
    <w:p>
      <w:r>
        <w:t>2.2 合同总价款中已包含设备运输费、保险费、安装调试费、培训费及税费等全部费用。</w:t>
      </w:r>
    </w:p>
    <w:p>
      <w:r>
        <w:t>2.3 乙方提供的所有设备必须符合国家信创目录要求，取得相关信创认证证书。</w:t>
      </w:r>
    </w:p>
    <w:p>
      <w:r>
        <w:t>2.4 乙方负责将合同设备运送至甲方指定的安装地点：北京市亦庄经济开发区华信银行数据中心。</w:t>
      </w:r>
    </w:p>
    <w:p>
      <w:pPr>
        <w:pStyle w:val="Heading2"/>
      </w:pPr>
      <w:r>
        <w:t>第三条 合同价款与支付</w:t>
      </w:r>
    </w:p>
    <w:p>
      <w:r>
        <w:t>3.1 本合同总价款为人民币壹仟贰佰万元整（¥12,000,000.00元），其中设备款1140万元，服务款60万元。</w:t>
      </w:r>
    </w:p>
    <w:p>
      <w:r>
        <w:t>3.2 付款方式采用分期付款，具体安排如下：</w:t>
      </w:r>
    </w:p>
    <w:p>
      <w:pPr>
        <w:pStyle w:val="ListBullet"/>
      </w:pPr>
      <w:r>
        <w:t>第一期（预付款）： 合同签订后10个工作日内，甲方向乙方支付合同总价款的30%，即人民币360万元。</w:t>
      </w:r>
    </w:p>
    <w:p>
      <w:pPr>
        <w:pStyle w:val="ListBullet"/>
      </w:pPr>
      <w:r>
        <w:t>第二期（到货款）： 全部设备到达甲方指定地点并经初步清点确认后10个工作日内，甲方向乙方支付合同总价款的40%，即人民币480万元。</w:t>
      </w:r>
    </w:p>
    <w:p>
      <w:pPr>
        <w:pStyle w:val="ListBullet"/>
      </w:pPr>
      <w:r>
        <w:t>第三期（验收款）： 全部设备安装调试完成并通过最终验收后10个工作日内，甲方向乙方支付合同总价款的25%，即人民币300万元。</w:t>
      </w:r>
    </w:p>
    <w:p>
      <w:pPr>
        <w:pStyle w:val="ListBullet"/>
      </w:pPr>
      <w:r>
        <w:t>第四期（质保金）： 质保期满且无质量问题后10个工作日内，甲方向乙方支付合同总价款的5%，即人民币60万元。</w:t>
      </w:r>
    </w:p>
    <w:p>
      <w:r>
        <w:t>3.3 乙方应在每次付款前向甲方开具等额的增值税专用发票，税率为13%。</w:t>
      </w:r>
    </w:p>
    <w:p>
      <w:r>
        <w:t>3.4 甲方付款以银行转账方式汇入乙方指定账户：</w:t>
      </w:r>
    </w:p>
    <w:p>
      <w:pPr>
        <w:pStyle w:val="ListBullet"/>
      </w:pPr>
      <w:r>
        <w:t>开户行： 中国工商银行深圳科技园支行</w:t>
      </w:r>
    </w:p>
    <w:p>
      <w:pPr>
        <w:pStyle w:val="ListBullet"/>
      </w:pPr>
      <w:r>
        <w:t>账户名： 鼎创信通科技集团有限公司</w:t>
      </w:r>
    </w:p>
    <w:p>
      <w:pPr>
        <w:pStyle w:val="ListBullet"/>
      </w:pPr>
      <w:r>
        <w:t>账号： 4000 1234 5678 9012</w:t>
      </w:r>
    </w:p>
    <w:p>
      <w:r>
        <w:t>3.5 如甲方未按约定期限付款，每逾期一日，应向乙方支付逾期金额万分之三的违约金。</w:t>
      </w:r>
    </w:p>
    <w:p>
      <w:pPr>
        <w:pStyle w:val="Heading2"/>
      </w:pPr>
      <w:r>
        <w:t>第四条 交付与运输</w:t>
      </w:r>
    </w:p>
    <w:p>
      <w:r>
        <w:t>4.1 乙方应在合同生效后60个工作日内完成全部设备的交付，具体交付计划如下：</w:t>
      </w:r>
    </w:p>
    <w:tbl>
      <w:tblPr>
        <w:tblStyle w:val="TableGrid"/>
        <w:tblW w:type="auto" w:w="0"/>
        <w:tblLook w:firstColumn="1" w:firstRow="1" w:lastColumn="0" w:lastRow="0" w:noHBand="0" w:noVBand="1" w:val="04A0"/>
      </w:tblPr>
      <w:tblGrid>
        <w:gridCol w:w="2880"/>
        <w:gridCol w:w="2880"/>
        <w:gridCol w:w="2880"/>
      </w:tblGrid>
      <w:tr>
        <w:tc>
          <w:tcPr>
            <w:tcW w:type="dxa" w:w="2880"/>
          </w:tcPr>
          <w:p>
            <w:r>
              <w:t>批次</w:t>
            </w:r>
          </w:p>
        </w:tc>
        <w:tc>
          <w:tcPr>
            <w:tcW w:type="dxa" w:w="2880"/>
          </w:tcPr>
          <w:p>
            <w:r>
              <w:t>设备内容</w:t>
            </w:r>
          </w:p>
        </w:tc>
        <w:tc>
          <w:tcPr>
            <w:tcW w:type="dxa" w:w="2880"/>
          </w:tcPr>
          <w:p>
            <w:r>
              <w:t>交付时间</w:t>
            </w:r>
          </w:p>
        </w:tc>
      </w:tr>
      <w:tr>
        <w:tc>
          <w:tcPr>
            <w:tcW w:type="dxa" w:w="2880"/>
          </w:tcPr>
          <w:p>
            <w:r>
              <w:t>第一批</w:t>
            </w:r>
          </w:p>
        </w:tc>
        <w:tc>
          <w:tcPr>
            <w:tcW w:type="dxa" w:w="2880"/>
          </w:tcPr>
          <w:p>
            <w:r>
              <w:t>服务器20台、核心交换机4台</w:t>
            </w:r>
          </w:p>
        </w:tc>
        <w:tc>
          <w:tcPr>
            <w:tcW w:type="dxa" w:w="2880"/>
          </w:tcPr>
          <w:p>
            <w:r>
              <w:t>合同生效后30个工作日内</w:t>
            </w:r>
          </w:p>
        </w:tc>
      </w:tr>
      <w:tr>
        <w:tc>
          <w:tcPr>
            <w:tcW w:type="dxa" w:w="2880"/>
          </w:tcPr>
          <w:p>
            <w:r>
              <w:t>第二批</w:t>
            </w:r>
          </w:p>
        </w:tc>
        <w:tc>
          <w:tcPr>
            <w:tcW w:type="dxa" w:w="2880"/>
          </w:tcPr>
          <w:p>
            <w:r>
              <w:t>服务器20台、核心交换机4台、接入交换机24台</w:t>
            </w:r>
          </w:p>
        </w:tc>
        <w:tc>
          <w:tcPr>
            <w:tcW w:type="dxa" w:w="2880"/>
          </w:tcPr>
          <w:p>
            <w:r>
              <w:t>合同生效后45个工作日内</w:t>
            </w:r>
          </w:p>
        </w:tc>
      </w:tr>
      <w:tr>
        <w:tc>
          <w:tcPr>
            <w:tcW w:type="dxa" w:w="2880"/>
          </w:tcPr>
          <w:p>
            <w:r>
              <w:t>第三批</w:t>
            </w:r>
          </w:p>
        </w:tc>
        <w:tc>
          <w:tcPr>
            <w:tcW w:type="dxa" w:w="2880"/>
          </w:tcPr>
          <w:p>
            <w:r>
              <w:t>分布式存储系统1套</w:t>
            </w:r>
          </w:p>
        </w:tc>
        <w:tc>
          <w:tcPr>
            <w:tcW w:type="dxa" w:w="2880"/>
          </w:tcPr>
          <w:p>
            <w:r>
              <w:t>合同生效后60个工作日内</w:t>
            </w:r>
          </w:p>
        </w:tc>
      </w:tr>
    </w:tbl>
    <w:p>
      <w:r>
        <w:t>4.2 乙方负责设备的包装、运输和保险，设备在交付甲方验收前的毁损灭失风险由乙方承担。</w:t>
      </w:r>
    </w:p>
    <w:p>
      <w:r>
        <w:t>4.3 乙方应在每批设备发运前3个工作日书面通知甲方，通知内容包括设备清单、运输方式、预计到达时间等。</w:t>
      </w:r>
    </w:p>
    <w:p>
      <w:r>
        <w:t>4.4 设备到达甲方指定地点后，甲乙双方应在5个工作日内共同进行到货清点，核对设备数量、型号、外观等是否与合同约定一致。</w:t>
      </w:r>
    </w:p>
    <w:p>
      <w:r>
        <w:t>4.5 到货清点中发现设备数量短缺、型号不符或外观损坏的，甲方有权拒绝接收，乙方应在10个工作日内补齐或更换。</w:t>
      </w:r>
    </w:p>
    <w:p>
      <w:pPr>
        <w:pStyle w:val="Heading2"/>
      </w:pPr>
      <w:r>
        <w:t>第五条 安装调试</w:t>
      </w:r>
    </w:p>
    <w:p>
      <w:r>
        <w:t>5.1 乙方应在设备到货后15个工作日内完成全部设备的安装调试工作。</w:t>
      </w:r>
    </w:p>
    <w:p>
      <w:r>
        <w:t>5.2 乙方应派遣具有相应资质的技术人员到甲方现场进行安装调试，安装调试团队不少于10人，其中项目经理1人、高级工程师不少于3人。</w:t>
      </w:r>
    </w:p>
    <w:p>
      <w:r>
        <w:t>5.3 安装调试内容包括但不限于：</w:t>
      </w:r>
    </w:p>
    <w:p>
      <w:pPr>
        <w:pStyle w:val="ListBullet"/>
      </w:pPr>
      <w:r>
        <w:t>（1）服务器上架、加电、基础配置</w:t>
      </w:r>
    </w:p>
    <w:p>
      <w:pPr>
        <w:pStyle w:val="ListBullet"/>
      </w:pPr>
      <w:r>
        <w:t>（2）存储系统部署、RAID配置、LUN划分</w:t>
      </w:r>
    </w:p>
    <w:p>
      <w:pPr>
        <w:pStyle w:val="ListBullet"/>
      </w:pPr>
      <w:r>
        <w:t>（3）网络设备配置、VLAN划分、路由配置</w:t>
      </w:r>
    </w:p>
    <w:p>
      <w:pPr>
        <w:pStyle w:val="ListBullet"/>
      </w:pPr>
      <w:r>
        <w:t>（4）定制固件的安装与调试</w:t>
      </w:r>
    </w:p>
    <w:p>
      <w:pPr>
        <w:pStyle w:val="ListBullet"/>
      </w:pPr>
      <w:r>
        <w:t>（5）系统联调与性能优化</w:t>
      </w:r>
    </w:p>
    <w:p>
      <w:pPr>
        <w:pStyle w:val="ListBullet"/>
      </w:pPr>
      <w:r>
        <w:t>（6）技术文档交付</w:t>
      </w:r>
    </w:p>
    <w:p>
      <w:r>
        <w:t>5.4 安装调试过程中，乙方应遵守甲方数据中心的管理规范和安全制度。</w:t>
      </w:r>
    </w:p>
    <w:p>
      <w:r>
        <w:t>5.5 乙方应在安装调试完成后3个工作日内向甲方提交安装调试报告。</w:t>
      </w:r>
    </w:p>
    <w:p>
      <w:pPr>
        <w:pStyle w:val="Heading2"/>
      </w:pPr>
      <w:r>
        <w:t>第六条 验收</w:t>
      </w:r>
    </w:p>
    <w:p>
      <w:r>
        <w:t>6.1 验收分为到货验收和最终验收两个阶段。</w:t>
      </w:r>
    </w:p>
    <w:p>
      <w:r>
        <w:t>6.2 到货验收： 设备到达甲方指定地点后5个工作日内，甲乙双方共同对设备进行外观检查、数量清点和通电测试。到货验收合格后，甲方出具到货验收确认书。</w:t>
      </w:r>
    </w:p>
    <w:p>
      <w:r>
        <w:t>6.3 最终验收： 全部设备安装调试完成后5个工作日内，甲方组织最终验收。最终验收内容包括：</w:t>
      </w:r>
    </w:p>
    <w:p>
      <w:pPr>
        <w:pStyle w:val="ListBullet"/>
      </w:pPr>
      <w:r>
        <w:t>（1）设备功能测试</w:t>
      </w:r>
    </w:p>
    <w:p>
      <w:pPr>
        <w:pStyle w:val="ListBullet"/>
      </w:pPr>
      <w:r>
        <w:t>（2）性能指标测试</w:t>
      </w:r>
    </w:p>
    <w:p>
      <w:pPr>
        <w:pStyle w:val="ListBullet"/>
      </w:pPr>
      <w:r>
        <w:t>（3）定制固件功能验证</w:t>
      </w:r>
    </w:p>
    <w:p>
      <w:pPr>
        <w:pStyle w:val="ListBullet"/>
      </w:pPr>
      <w:r>
        <w:t>（4）系统兼容性测试</w:t>
      </w:r>
    </w:p>
    <w:p>
      <w:pPr>
        <w:pStyle w:val="ListBullet"/>
      </w:pPr>
      <w:r>
        <w:t>（5）安全合规性检查</w:t>
      </w:r>
    </w:p>
    <w:p>
      <w:r>
        <w:t>6.4 最终验收合格的标准：</w:t>
      </w:r>
    </w:p>
    <w:p>
      <w:pPr>
        <w:pStyle w:val="ListBullet"/>
      </w:pPr>
      <w:r>
        <w:t>（1）全部设备运行正常，无硬件故障</w:t>
      </w:r>
    </w:p>
    <w:p>
      <w:pPr>
        <w:pStyle w:val="ListBullet"/>
      </w:pPr>
      <w:r>
        <w:t>（2）性能指标达到附件二约定的技术参数</w:t>
      </w:r>
    </w:p>
    <w:p>
      <w:pPr>
        <w:pStyle w:val="ListBullet"/>
      </w:pPr>
      <w:r>
        <w:t>（3）定制固件功能满足甲方需求规格说明书要求</w:t>
      </w:r>
    </w:p>
    <w:p>
      <w:pPr>
        <w:pStyle w:val="ListBullet"/>
      </w:pPr>
      <w:r>
        <w:t>（4）通过甲方信息安全团队的安全检查</w:t>
      </w:r>
    </w:p>
    <w:p>
      <w:r>
        <w:t>6.5 验收合格后，甲方应在5个工作日内出具最终验收合格确认书。</w:t>
      </w:r>
    </w:p>
    <w:p>
      <w:r>
        <w:t>6.6 验收不合格的，甲方应书面通知乙方，列明不合格事项。乙方应在15个工作日内完成整改并重新提请验收。</w:t>
      </w:r>
    </w:p>
    <w:p>
      <w:pPr>
        <w:pStyle w:val="Heading2"/>
      </w:pPr>
      <w:r>
        <w:t>第七条 定制固件开发</w:t>
      </w:r>
    </w:p>
    <w:p>
      <w:r>
        <w:t>7.1 乙方应根据甲方提供的《定制固件需求规格说明书》（附件三）进行定制固件开发。</w:t>
      </w:r>
    </w:p>
    <w:p>
      <w:r>
        <w:t>7.2 定制固件的开发周期为合同生效后45个工作日，乙方应在开发完成后提交甲方进行功能验证。</w:t>
      </w:r>
    </w:p>
    <w:p>
      <w:r>
        <w:t>7.3 甲方有权在开发过程中提出合理的需求变更，乙方应予以配合。因需求变更导致的费用增加和工期延长，双方另行协商确定。</w:t>
      </w:r>
    </w:p>
    <w:p>
      <w:r>
        <w:t>7.4 定制固件的源代码由乙方负责保管和维护。</w:t>
      </w:r>
    </w:p>
    <w:p>
      <w:r>
        <w:t>7.5 乙方保证定制固件不侵犯任何第三方的知识产权。</w:t>
      </w:r>
    </w:p>
    <w:p>
      <w:pPr>
        <w:pStyle w:val="Heading2"/>
      </w:pPr>
      <w:r>
        <w:t>第八条 质量保证</w:t>
      </w:r>
    </w:p>
    <w:p>
      <w:r>
        <w:t>8.1 乙方保证所提供的合同设备为全新、原厂正品，符合国家相关质量标准和行业标准。</w:t>
      </w:r>
    </w:p>
    <w:p>
      <w:r>
        <w:t>8.2 合同设备的质保期为自最终验收合格之日起36个月（3年）。</w:t>
      </w:r>
    </w:p>
    <w:p>
      <w:r>
        <w:t>8.3 质保期内，乙方应对设备出现的质量问题提供免费维修或更换服务。</w:t>
      </w:r>
    </w:p>
    <w:p>
      <w:r>
        <w:t>8.4 质保期内设备发生故障的，乙方应在接到甲方通知后4小时内响应，24小时内到达现场，48小时内排除故障或提供替代设备。</w:t>
      </w:r>
    </w:p>
    <w:p>
      <w:r>
        <w:t>8.5 因甲方使用不当或不可抗力导致的设备损坏，不属于质保范围，乙方可提供有偿维修服务。</w:t>
      </w:r>
    </w:p>
    <w:p>
      <w:pPr>
        <w:pStyle w:val="Heading2"/>
      </w:pPr>
      <w:r>
        <w:t>第九条 售后服务与技术支持</w:t>
      </w:r>
    </w:p>
    <w:p>
      <w:r>
        <w:t>9.1 质保期内，乙方应提供7×24小时技术支持热线服务。</w:t>
      </w:r>
    </w:p>
    <w:p>
      <w:r>
        <w:t>9.2 乙方应每季度对合同设备进行一次预防性维护巡检，并提交巡检报告。</w:t>
      </w:r>
    </w:p>
    <w:p>
      <w:r>
        <w:t>9.3 质保期满后，甲方有权选择购买延长质保服务，具体费用由双方另行协商。</w:t>
      </w:r>
    </w:p>
    <w:p>
      <w:r>
        <w:t>9.4 乙方应提供不少于3次的技术培训，每次培训不少于8学时，培训内容包括设备操作、日常维护、故障处理等。</w:t>
      </w:r>
    </w:p>
    <w:p>
      <w:r>
        <w:t>9.5 乙方应向甲方提供完整的设备技术文档、操作手册和维护手册。</w:t>
      </w:r>
    </w:p>
    <w:p>
      <w:pPr>
        <w:pStyle w:val="Heading2"/>
      </w:pPr>
      <w:r>
        <w:t>第十条 知识产权</w:t>
      </w:r>
    </w:p>
    <w:p>
      <w:r>
        <w:t>10.1 合同设备所涉及的专利权、商标权等知识产权归各自权利人所有。</w:t>
      </w:r>
    </w:p>
    <w:p>
      <w:r>
        <w:t>10.2 乙方保证其提供的设备及服务不侵犯任何第三方的知识产权。如因知识产权纠纷给甲方造成损失的，乙方应承担全部赔偿责任。</w:t>
      </w:r>
    </w:p>
    <w:p>
      <w:r>
        <w:t>10.3 甲方在本合同项下获得的软件使用许可，仅限于甲方内部业务使用，不得向第三方转让、出租或 sublicense。</w:t>
      </w:r>
    </w:p>
    <w:p>
      <w:r>
        <w:t>10.4 乙方为履行本合同而开发的定制固件，其知识产权归乙方所有，甲方享有永久使用权。</w:t>
      </w:r>
    </w:p>
    <w:p>
      <w:pPr>
        <w:pStyle w:val="Heading2"/>
      </w:pPr>
      <w:r>
        <w:t>第十一条 保密条款</w:t>
      </w:r>
    </w:p>
    <w:p>
      <w:r>
        <w:t>11.1 甲乙双方在本合同签订及履行过程中知悉的对方商业秘密和技术秘密，负有保密义务。</w:t>
      </w:r>
    </w:p>
    <w:p>
      <w:r>
        <w:t>11.2 保密期限为本合同终止后5年。</w:t>
      </w:r>
    </w:p>
    <w:p>
      <w:r>
        <w:t>11.3 以下信息不属于保密范围：</w:t>
      </w:r>
    </w:p>
    <w:p>
      <w:pPr>
        <w:pStyle w:val="ListBullet"/>
      </w:pPr>
      <w:r>
        <w:t>（1）在披露前已为公众所知的信息</w:t>
      </w:r>
    </w:p>
    <w:p>
      <w:pPr>
        <w:pStyle w:val="ListBullet"/>
      </w:pPr>
      <w:r>
        <w:t>（2）非因接收方过错而成为公众所知的信息</w:t>
      </w:r>
    </w:p>
    <w:p>
      <w:pPr>
        <w:pStyle w:val="ListBullet"/>
      </w:pPr>
      <w:r>
        <w:t>（3）接收方从有权披露的第三方获得的信息</w:t>
      </w:r>
    </w:p>
    <w:p>
      <w:pPr>
        <w:pStyle w:val="ListBullet"/>
      </w:pPr>
      <w:r>
        <w:t>（4）经披露方书面同意可以披露的信息</w:t>
      </w:r>
    </w:p>
    <w:p>
      <w:r>
        <w:t>11.4 乙方承诺对甲方数据中心的网络架构、系统配置、安全策略等信息严格保密。</w:t>
      </w:r>
    </w:p>
    <w:p>
      <w:pPr>
        <w:pStyle w:val="Heading2"/>
      </w:pPr>
      <w:r>
        <w:t>第十二条 违约责任</w:t>
      </w:r>
    </w:p>
    <w:p>
      <w:r>
        <w:t>12.1 乙方逾期交付设备的，每逾期一日，应向甲方支付合同总价款万分之五的违约金。逾期超过30日的，甲方有权解除合同。</w:t>
      </w:r>
    </w:p>
    <w:p>
      <w:r>
        <w:t>12.2 乙方提供的设备存在质量问题的，应负责免费更换或维修，并承担由此产生的运输、安装等费用。</w:t>
      </w:r>
    </w:p>
    <w:p>
      <w:r>
        <w:t>12.3 甲方逾期付款的，每逾期一日，应向乙方支付逾期金额万分之三的违约金。</w:t>
      </w:r>
    </w:p>
    <w:p>
      <w:r>
        <w:t>12.4 任何一方违反保密义务的，应向对方支付合同总价款10%的违约金，并赔偿由此造成的实际损失。</w:t>
      </w:r>
    </w:p>
    <w:p>
      <w:r>
        <w:t>12.5 违约金上限： 除保密违约外，本合同项下任何一方应支付的违约金总额不超过合同总价款的5%。</w:t>
      </w:r>
    </w:p>
    <w:p>
      <w:r>
        <w:t>12.6 违约金不足以弥补守约方实际损失的，违约方应补足差额。</w:t>
      </w:r>
    </w:p>
    <w:p>
      <w:pPr>
        <w:pStyle w:val="Heading2"/>
      </w:pPr>
      <w:r>
        <w:t>第十三条 不可抗力</w:t>
      </w:r>
    </w:p>
    <w:p>
      <w:r>
        <w:t>13.1 因地震、洪水、火灾、战争、疫情、政府行为等不可抗力事件导致本合同不能履行或不能完全履行的，受影响方不承担违约责任。</w:t>
      </w:r>
    </w:p>
    <w:p>
      <w:r>
        <w:t>13.2 受不可抗力影响的一方应在不可抗力事件发生后5个工作日内书面通知对方，并在15个工作日内提供相关证明材料。</w:t>
      </w:r>
    </w:p>
    <w:p>
      <w:r>
        <w:t>13.3 不可抗力事件持续超过60日的，任何一方有权书面通知对方解除本合同。</w:t>
      </w:r>
    </w:p>
    <w:p>
      <w:pPr>
        <w:pStyle w:val="Heading2"/>
      </w:pPr>
      <w:r>
        <w:t>第十四条 争议解决</w:t>
      </w:r>
    </w:p>
    <w:p>
      <w:r>
        <w:t>14.1 本合同的签订、履行、解释及争议解决均适用中华人民共和国法律。</w:t>
      </w:r>
    </w:p>
    <w:p>
      <w:r>
        <w:t>14.2 因本合同引起的或与本合同有关的任何争议，双方应首先通过友好协商解决。</w:t>
      </w:r>
    </w:p>
    <w:p>
      <w:r>
        <w:t>14.3 协商不成的，任何一方均有权向甲方所在地有管辖权的人民法院提起诉讼。</w:t>
      </w:r>
    </w:p>
    <w:p>
      <w:pPr>
        <w:pStyle w:val="Heading2"/>
      </w:pPr>
      <w:r>
        <w:t>第十五条 合同的变更与解除</w:t>
      </w:r>
    </w:p>
    <w:p>
      <w:r>
        <w:t>15.1 本合同的任何变更、补充，均应经甲乙双方协商一致，并签订书面变更协议。</w:t>
      </w:r>
    </w:p>
    <w:p>
      <w:r>
        <w:t>15.2 有下列情形之一的，守约方有权书面通知违约方解除本合同：</w:t>
      </w:r>
    </w:p>
    <w:p>
      <w:pPr>
        <w:pStyle w:val="ListBullet"/>
      </w:pPr>
      <w:r>
        <w:t>（1）一方严重违反本合同约定，经催告后30日内仍未纠正的</w:t>
      </w:r>
    </w:p>
    <w:p>
      <w:pPr>
        <w:pStyle w:val="ListBullet"/>
      </w:pPr>
      <w:r>
        <w:t>（2）一方被依法宣告破产、解散或被吊销营业执照的</w:t>
      </w:r>
    </w:p>
    <w:p>
      <w:pPr>
        <w:pStyle w:val="ListBullet"/>
      </w:pPr>
      <w:r>
        <w:t>（3）因不可抗力致使合同目的不能实现的</w:t>
      </w:r>
    </w:p>
    <w:p>
      <w:r>
        <w:t>15.3 合同解除后，双方应在30日内完成已交付设备和已支付款项的结算。</w:t>
      </w:r>
    </w:p>
    <w:p>
      <w:pPr>
        <w:pStyle w:val="Heading2"/>
      </w:pPr>
      <w:r>
        <w:t>第十六条 通知与送达</w:t>
      </w:r>
    </w:p>
    <w:p>
      <w:r>
        <w:t>16.1 甲乙双方之间的通知、函件等，应以书面形式发出，可采用专人送达、挂号信、快递或电子邮件方式。</w:t>
      </w:r>
    </w:p>
    <w:p>
      <w:r>
        <w:t>16.2 采用电子邮件方式发送的，以发送成功为送达；采用其他方式的，以签收日为送达日。</w:t>
      </w:r>
    </w:p>
    <w:p>
      <w:r>
        <w:t>16.3 甲乙双方的联系方式以本合同首部载明的信息为准。如有变更，应在变更后5个工作日内书面通知对方。</w:t>
      </w:r>
    </w:p>
    <w:p>
      <w:pPr>
        <w:pStyle w:val="Heading2"/>
      </w:pPr>
      <w:r>
        <w:t>第十七条 合同效力</w:t>
      </w:r>
    </w:p>
    <w:p>
      <w:r>
        <w:t>17.1 本合同自甲乙双方法定代表人或授权代表签字并加盖公章之日起生效。</w:t>
      </w:r>
    </w:p>
    <w:p>
      <w:r>
        <w:t>17.2 本合同一式六份，甲方持四份，乙方持两份，具有同等法律效力。</w:t>
      </w:r>
    </w:p>
    <w:p>
      <w:r>
        <w:t>17.3 本合同的附件为本合同不可分割的组成部分，与本合同具有同等法律效力。</w:t>
      </w:r>
    </w:p>
    <w:p>
      <w:r>
        <w:t>17.4 本合同未尽事宜，双方可另行签订补充协议。</w:t>
      </w:r>
    </w:p>
    <w:p>
      <w:r>
        <w:t>──────────────────────────────────────────────────</w:t>
      </w:r>
    </w:p>
    <w:p>
      <w:pPr>
        <w:pStyle w:val="Heading2"/>
      </w:pPr>
      <w:r>
        <w:t>附件清单</w:t>
      </w:r>
    </w:p>
    <w:tbl>
      <w:tblPr>
        <w:tblStyle w:val="TableGrid"/>
        <w:tblW w:type="auto" w:w="0"/>
        <w:tblLook w:firstColumn="1" w:firstRow="1" w:lastColumn="0" w:lastRow="0" w:noHBand="0" w:noVBand="1" w:val="04A0"/>
      </w:tblPr>
      <w:tblGrid>
        <w:gridCol w:w="2880"/>
        <w:gridCol w:w="2880"/>
        <w:gridCol w:w="2880"/>
      </w:tblGrid>
      <w:tr>
        <w:tc>
          <w:tcPr>
            <w:tcW w:type="dxa" w:w="2880"/>
          </w:tcPr>
          <w:p>
            <w:r>
              <w:t>附件编号</w:t>
            </w:r>
          </w:p>
        </w:tc>
        <w:tc>
          <w:tcPr>
            <w:tcW w:type="dxa" w:w="2880"/>
          </w:tcPr>
          <w:p>
            <w:r>
              <w:t>附件名称</w:t>
            </w:r>
          </w:p>
        </w:tc>
        <w:tc>
          <w:tcPr>
            <w:tcW w:type="dxa" w:w="2880"/>
          </w:tcPr>
          <w:p>
            <w:r>
              <w:t>说明</w:t>
            </w:r>
          </w:p>
        </w:tc>
      </w:tr>
      <w:tr>
        <w:tc>
          <w:tcPr>
            <w:tcW w:type="dxa" w:w="2880"/>
          </w:tcPr>
          <w:p>
            <w:r>
              <w:t>附件一</w:t>
            </w:r>
          </w:p>
        </w:tc>
        <w:tc>
          <w:tcPr>
            <w:tcW w:type="dxa" w:w="2880"/>
          </w:tcPr>
          <w:p>
            <w:r>
              <w:t>设备清单及技术规格</w:t>
            </w:r>
          </w:p>
        </w:tc>
        <w:tc>
          <w:tcPr>
            <w:tcW w:type="dxa" w:w="2880"/>
          </w:tcPr>
          <w:p>
            <w:r>
              <w:t>详细设备型号、配置、技术参数</w:t>
            </w:r>
          </w:p>
        </w:tc>
      </w:tr>
      <w:tr>
        <w:tc>
          <w:tcPr>
            <w:tcW w:type="dxa" w:w="2880"/>
          </w:tcPr>
          <w:p>
            <w:r>
              <w:t>附件二</w:t>
            </w:r>
          </w:p>
        </w:tc>
        <w:tc>
          <w:tcPr>
            <w:tcW w:type="dxa" w:w="2880"/>
          </w:tcPr>
          <w:p>
            <w:r>
              <w:t>性能指标要求</w:t>
            </w:r>
          </w:p>
        </w:tc>
        <w:tc>
          <w:tcPr>
            <w:tcW w:type="dxa" w:w="2880"/>
          </w:tcPr>
          <w:p>
            <w:r>
              <w:t>设备性能验收标准</w:t>
            </w:r>
          </w:p>
        </w:tc>
      </w:tr>
      <w:tr>
        <w:tc>
          <w:tcPr>
            <w:tcW w:type="dxa" w:w="2880"/>
          </w:tcPr>
          <w:p>
            <w:r>
              <w:t>附件三</w:t>
            </w:r>
          </w:p>
        </w:tc>
        <w:tc>
          <w:tcPr>
            <w:tcW w:type="dxa" w:w="2880"/>
          </w:tcPr>
          <w:p>
            <w:r>
              <w:t>定制固件需求规格说明书</w:t>
            </w:r>
          </w:p>
        </w:tc>
        <w:tc>
          <w:tcPr>
            <w:tcW w:type="dxa" w:w="2880"/>
          </w:tcPr>
          <w:p>
            <w:r>
              <w:t>定制固件功能需求</w:t>
            </w:r>
          </w:p>
        </w:tc>
      </w:tr>
      <w:tr>
        <w:tc>
          <w:tcPr>
            <w:tcW w:type="dxa" w:w="2880"/>
          </w:tcPr>
          <w:p>
            <w:r>
              <w:t>附件四</w:t>
            </w:r>
          </w:p>
        </w:tc>
        <w:tc>
          <w:tcPr>
            <w:tcW w:type="dxa" w:w="2880"/>
          </w:tcPr>
          <w:p>
            <w:r>
              <w:t>交付计划表</w:t>
            </w:r>
          </w:p>
        </w:tc>
        <w:tc>
          <w:tcPr>
            <w:tcW w:type="dxa" w:w="2880"/>
          </w:tcPr>
          <w:p>
            <w:r>
              <w:t>详细交付时间安排</w:t>
            </w:r>
          </w:p>
        </w:tc>
      </w:tr>
      <w:tr>
        <w:tc>
          <w:tcPr>
            <w:tcW w:type="dxa" w:w="2880"/>
          </w:tcPr>
          <w:p>
            <w:r>
              <w:t>附件五</w:t>
            </w:r>
          </w:p>
        </w:tc>
        <w:tc>
          <w:tcPr>
            <w:tcW w:type="dxa" w:w="2880"/>
          </w:tcPr>
          <w:p>
            <w:r>
              <w:t>验收标准及流程</w:t>
            </w:r>
          </w:p>
        </w:tc>
        <w:tc>
          <w:tcPr>
            <w:tcW w:type="dxa" w:w="2880"/>
          </w:tcPr>
          <w:p>
            <w:r>
              <w:t>验收测试方案</w:t>
            </w:r>
          </w:p>
        </w:tc>
      </w:tr>
      <w:tr>
        <w:tc>
          <w:tcPr>
            <w:tcW w:type="dxa" w:w="2880"/>
          </w:tcPr>
          <w:p>
            <w:r>
              <w:t>附件六</w:t>
            </w:r>
          </w:p>
        </w:tc>
        <w:tc>
          <w:tcPr>
            <w:tcW w:type="dxa" w:w="2880"/>
          </w:tcPr>
          <w:p>
            <w:r>
              <w:t>培训计划</w:t>
            </w:r>
          </w:p>
        </w:tc>
        <w:tc>
          <w:tcPr>
            <w:tcW w:type="dxa" w:w="2880"/>
          </w:tcPr>
          <w:p>
            <w:r>
              <w:t>技术培训安排</w:t>
            </w:r>
          </w:p>
        </w:tc>
      </w:tr>
      <w:tr>
        <w:tc>
          <w:tcPr>
            <w:tcW w:type="dxa" w:w="2880"/>
          </w:tcPr>
          <w:p>
            <w:r>
              <w:t>附件七</w:t>
            </w:r>
          </w:p>
        </w:tc>
        <w:tc>
          <w:tcPr>
            <w:tcW w:type="dxa" w:w="2880"/>
          </w:tcPr>
          <w:p>
            <w:r>
              <w:t>售后服务方案</w:t>
            </w:r>
          </w:p>
        </w:tc>
        <w:tc>
          <w:tcPr>
            <w:tcW w:type="dxa" w:w="2880"/>
          </w:tcPr>
          <w:p>
            <w:r>
              <w:t>质保及售后服务内容</w:t>
            </w:r>
          </w:p>
        </w:tc>
      </w:tr>
    </w:tbl>
    <w:p>
      <w:r>
        <w:t>──────────────────────────────────────────────────</w:t>
      </w:r>
    </w:p>
    <w:p>
      <w:pPr>
        <w:pStyle w:val="Heading2"/>
      </w:pPr>
      <w:r>
        <w:t>签章区</w:t>
      </w:r>
    </w:p>
    <w:p>
      <w:r>
        <w:t>甲方（盖章）： 华信银行股份有限公司</w:t>
      </w:r>
    </w:p>
    <w:p>
      <w:r>
        <w:t>法定代表人（或授权代表）签字：________________</w:t>
      </w:r>
    </w:p>
    <w:p>
      <w:r>
        <w:t>日期：2026年____月____日</w:t>
      </w:r>
    </w:p>
    <w:p>
      <w:r>
        <w:t>乙方（盖章）： 鼎创信通科技集团有限公司</w:t>
      </w:r>
    </w:p>
    <w:p>
      <w:r>
        <w:t>法定代表人（或授权代表）签字：________________</w:t>
      </w:r>
    </w:p>
    <w:p>
      <w:r>
        <w:t>日期：2026年____月____日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