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数据治理技术服务合同</w:t>
      </w:r>
    </w:p>
    <w:p>
      <w:pPr>
        <w:ind w:left="720"/>
      </w:pPr>
      <w:r>
        <w:rPr>
          <w:i/>
          <w:color w:val="555555"/>
        </w:rPr>
        <w:t>合同背景说明</w:t>
      </w:r>
    </w:p>
    <w:p>
      <w:pPr>
        <w:ind w:left="720"/>
      </w:pPr>
      <w:r>
        <w:rPr>
          <w:i/>
          <w:color w:val="555555"/>
        </w:rPr>
      </w:r>
    </w:p>
    <w:p>
      <w:pPr>
        <w:ind w:left="720"/>
      </w:pPr>
      <w:r>
        <w:rPr>
          <w:i/>
          <w:color w:val="555555"/>
        </w:rPr>
        <w:t>甲方（委托方）为某大型国有能源集团，世界500强企业，下属企业超过200家，员工总数超过30万人。集团信息化建设多年，积累了海量业务数据，但数据质量参差不齐、数据标准不统一、数据孤岛问题严重，严重影响了经营决策效率和数字化转型进程。</w:t>
      </w:r>
    </w:p>
    <w:p>
      <w:pPr>
        <w:ind w:left="720"/>
      </w:pPr>
      <w:r>
        <w:rPr>
          <w:i/>
          <w:color w:val="555555"/>
        </w:rPr>
      </w:r>
    </w:p>
    <w:p>
      <w:pPr>
        <w:ind w:left="720"/>
      </w:pPr>
      <w:r>
        <w:rPr>
          <w:i/>
          <w:color w:val="555555"/>
        </w:rPr>
        <w:t>乙方（服务方）为某专业数据治理公司，成立于2015年，专注于数据治理领域，拥有自主研发的数据治理平台和成熟的方法论体系，服务过多家大型央企和国企。</w:t>
      </w:r>
    </w:p>
    <w:p>
      <w:pPr>
        <w:ind w:left="720"/>
      </w:pPr>
      <w:r>
        <w:rPr>
          <w:i/>
          <w:color w:val="555555"/>
        </w:rPr>
      </w:r>
    </w:p>
    <w:p>
      <w:pPr>
        <w:ind w:left="720"/>
      </w:pPr>
      <w:r>
        <w:rPr>
          <w:i/>
          <w:color w:val="555555"/>
        </w:rPr>
        <w:t>甲方决定委托乙方进行数据资产盘点与质量提升项目，项目周期6个月，总价280万元。</w:t>
      </w:r>
    </w:p>
    <w:p>
      <w:pPr>
        <w:ind w:left="720"/>
      </w:pPr>
      <w:r>
        <w:rPr>
          <w:i/>
          <w:color w:val="555555"/>
        </w:rPr>
      </w:r>
    </w:p>
    <w:p>
      <w:pPr>
        <w:ind w:left="720"/>
      </w:pPr>
      <w:r>
        <w:rPr>
          <w:i/>
          <w:color w:val="555555"/>
        </w:rPr>
        <w:t>本合同存在以下故意埋入的风险点：验收标准主观化、数据安全责任不清、交付物范围含糊、知识产权归属矛盾、保密期限过短、缺少数据脱敏处理条款、缺少第三方审计条款、付款节点与里程碑不匹配。</w:t>
      </w:r>
    </w:p>
    <w:p>
      <w:r>
        <w:t>──────────────────────────────────────────────────</w:t>
      </w:r>
    </w:p>
    <w:p>
      <w:pPr>
        <w:pStyle w:val="Heading2"/>
      </w:pPr>
      <w:r>
        <w:t>合同编号：CG-TD-2026-007</w:t>
      </w:r>
    </w:p>
    <w:p>
      <w:r>
        <w:t>签订日期： 2026年6月18日</w:t>
      </w:r>
    </w:p>
    <w:p>
      <w:r>
        <w:t>签订地点： 北京市西城区</w:t>
      </w:r>
    </w:p>
    <w:p>
      <w:r>
        <w:t>──────────────────────────────────────────────────</w:t>
      </w:r>
    </w:p>
    <w:p>
      <w:pPr>
        <w:pStyle w:val="Heading2"/>
      </w:pPr>
      <w:r>
        <w:t>甲方（委托方）</w:t>
      </w:r>
    </w:p>
    <w:p>
      <w:pPr>
        <w:pStyle w:val="ListBullet"/>
      </w:pPr>
      <w:r>
        <w:t>公司名称： 华夏能源集团有限公司</w:t>
      </w:r>
    </w:p>
    <w:p>
      <w:pPr>
        <w:pStyle w:val="ListBullet"/>
      </w:pPr>
      <w:r>
        <w:t>统一社会信用代码： 91110000MA33333333</w:t>
      </w:r>
    </w:p>
    <w:p>
      <w:pPr>
        <w:pStyle w:val="ListBullet"/>
      </w:pPr>
      <w:r>
        <w:t>法定代表人： 陈国强</w:t>
      </w:r>
    </w:p>
    <w:p>
      <w:pPr>
        <w:pStyle w:val="ListBullet"/>
      </w:pPr>
      <w:r>
        <w:t>注册地址： 北京市西城区金融大街35号华夏能源大厦</w:t>
      </w:r>
    </w:p>
    <w:p>
      <w:pPr>
        <w:pStyle w:val="ListBullet"/>
      </w:pPr>
      <w:r>
        <w:t>联系电话： 010-68886666</w:t>
      </w:r>
    </w:p>
    <w:p>
      <w:pPr>
        <w:pStyle w:val="ListBullet"/>
      </w:pPr>
      <w:r>
        <w:t>电子邮箱： procurement@hx-energy.com</w:t>
      </w:r>
    </w:p>
    <w:p>
      <w:pPr>
        <w:pStyle w:val="Heading2"/>
      </w:pPr>
      <w:r>
        <w:t>乙方（服务方）</w:t>
      </w:r>
    </w:p>
    <w:p>
      <w:pPr>
        <w:pStyle w:val="ListBullet"/>
      </w:pPr>
      <w:r>
        <w:t>公司名称： 北京数智通达数据科技有限公司</w:t>
      </w:r>
    </w:p>
    <w:p>
      <w:pPr>
        <w:pStyle w:val="ListBullet"/>
      </w:pPr>
      <w:r>
        <w:t>统一社会信用代码： 91110108MA44444444</w:t>
      </w:r>
    </w:p>
    <w:p>
      <w:pPr>
        <w:pStyle w:val="ListBullet"/>
      </w:pPr>
      <w:r>
        <w:t>法定代表人： 赵明辉</w:t>
      </w:r>
    </w:p>
    <w:p>
      <w:pPr>
        <w:pStyle w:val="ListBullet"/>
      </w:pPr>
      <w:r>
        <w:t>注册地址： 北京市海淀区中关村软件园数智通达大厦</w:t>
      </w:r>
    </w:p>
    <w:p>
      <w:pPr>
        <w:pStyle w:val="ListBullet"/>
      </w:pPr>
      <w:r>
        <w:t>联系电话： 010-82886666</w:t>
      </w:r>
    </w:p>
    <w:p>
      <w:pPr>
        <w:pStyle w:val="ListBullet"/>
      </w:pPr>
      <w:r>
        <w:t>电子邮箱： contract@sztd-data.com</w:t>
      </w:r>
    </w:p>
    <w:p>
      <w:r>
        <w:t>──────────────────────────────────────────────────</w:t>
      </w:r>
    </w:p>
    <w:p>
      <w:pPr>
        <w:pStyle w:val="Heading2"/>
      </w:pPr>
      <w:r>
        <w:t>第一条 定义与解释</w:t>
      </w:r>
    </w:p>
    <w:p>
      <w:r>
        <w:t>1.1 "数据资产" 指甲方在业务运营过程中产生和积累的各类数据资源，包括但不限于业务数据、管理数据、客户数据、财务数据等。</w:t>
      </w:r>
    </w:p>
    <w:p>
      <w:r>
        <w:t>1.2 "数据治理" 指对数据资产进行盘点、标准化、质量管理、安全管理等一系列活动，以提升数据质量和数据价值。</w:t>
      </w:r>
    </w:p>
    <w:p>
      <w:r>
        <w:t>1.3 "交付物" 指乙方在项目过程中向甲方交付的工作成果，包括但不限于报告、文档、工具、平台等。</w:t>
      </w:r>
    </w:p>
    <w:p>
      <w:r>
        <w:t>1.4 "数据质量" 指数据的准确性、完整性、一致性、及时性、有效性等特征。</w:t>
      </w:r>
    </w:p>
    <w:p>
      <w:r>
        <w:t>1.5 "保密信息" 指一方在合同履行过程中知悉的另一方未公开的技术信息、业务信息、数据信息及其他敏感信息。</w:t>
      </w:r>
    </w:p>
    <w:p>
      <w:pPr>
        <w:pStyle w:val="Heading2"/>
      </w:pPr>
      <w:r>
        <w:t>第二条 服务范围</w:t>
      </w:r>
    </w:p>
    <w:p>
      <w:r>
        <w:t>2.1 乙方同意在项目周期内为甲方提供以下数据治理技术服务：</w:t>
      </w:r>
    </w:p>
    <w:p>
      <w:r>
        <w:t>（一）数据资产盘点：对甲方现有数据资产进行全面盘点，建立数据资产目录；</w:t>
      </w:r>
    </w:p>
    <w:p>
      <w:r>
        <w:t>（二）数据标准制定：制定统一的数据标准和数据规范；</w:t>
      </w:r>
    </w:p>
    <w:p>
      <w:r>
        <w:t>（三）数据质量评估：对甲方数据质量进行评估，识别数据质量问题；</w:t>
      </w:r>
    </w:p>
    <w:p>
      <w:r>
        <w:t>（四）数据质量提升：制定并实施数据质量提升方案；</w:t>
      </w:r>
    </w:p>
    <w:p>
      <w:r>
        <w:t>（五）数据治理规划：为甲方制定长期数据治理规划；</w:t>
      </w:r>
    </w:p>
    <w:p>
      <w:r>
        <w:t>（六）甲方合理要求的其他数据治理服务。</w:t>
      </w:r>
    </w:p>
    <w:p>
      <w:r>
        <w:t>2.2 乙方应按照甲方的数据治理需求和行业最佳实践提供服务。</w:t>
      </w:r>
    </w:p>
    <w:p>
      <w:r>
        <w:t>2.3 对于超出本合同约定范围的服务需求，双方应另行协商并签署补充协议。</w:t>
      </w:r>
    </w:p>
    <w:p>
      <w:pPr>
        <w:pStyle w:val="Heading2"/>
      </w:pPr>
      <w:r>
        <w:t>第三条 项目周期与里程碑</w:t>
      </w:r>
    </w:p>
    <w:p>
      <w:r>
        <w:t>3.1 本项目周期为 6个月，自2026年7月1日起至2026年12月31日止。</w:t>
      </w:r>
    </w:p>
    <w:p>
      <w:r>
        <w:t>3.2 项目里程碑如下：</w:t>
      </w:r>
    </w:p>
    <w:tbl>
      <w:tblPr>
        <w:tblStyle w:val="TableGrid"/>
        <w:tblW w:type="auto" w:w="0"/>
        <w:tblLook w:firstColumn="1" w:firstRow="1" w:lastColumn="0" w:lastRow="0" w:noHBand="0" w:noVBand="1" w:val="04A0"/>
      </w:tblPr>
      <w:tblGrid>
        <w:gridCol w:w="2880"/>
        <w:gridCol w:w="2880"/>
        <w:gridCol w:w="2880"/>
      </w:tblGrid>
      <w:tr>
        <w:tc>
          <w:tcPr>
            <w:tcW w:type="dxa" w:w="2880"/>
          </w:tcPr>
          <w:p>
            <w:r>
              <w:t>阶段</w:t>
            </w:r>
          </w:p>
        </w:tc>
        <w:tc>
          <w:tcPr>
            <w:tcW w:type="dxa" w:w="2880"/>
          </w:tcPr>
          <w:p>
            <w:r>
              <w:t>时间节点</w:t>
            </w:r>
          </w:p>
        </w:tc>
        <w:tc>
          <w:tcPr>
            <w:tcW w:type="dxa" w:w="2880"/>
          </w:tcPr>
          <w:p>
            <w:r>
              <w:t>主要工作</w:t>
            </w:r>
          </w:p>
        </w:tc>
      </w:tr>
      <w:tr>
        <w:tc>
          <w:tcPr>
            <w:tcW w:type="dxa" w:w="2880"/>
          </w:tcPr>
          <w:p>
            <w:r>
              <w:t>第一阶段</w:t>
            </w:r>
          </w:p>
        </w:tc>
        <w:tc>
          <w:tcPr>
            <w:tcW w:type="dxa" w:w="2880"/>
          </w:tcPr>
          <w:p>
            <w:r>
              <w:t>2026年7月-8月</w:t>
            </w:r>
          </w:p>
        </w:tc>
        <w:tc>
          <w:tcPr>
            <w:tcW w:type="dxa" w:w="2880"/>
          </w:tcPr>
          <w:p>
            <w:r>
              <w:t>数据资产盘点与调研</w:t>
            </w:r>
          </w:p>
        </w:tc>
      </w:tr>
      <w:tr>
        <w:tc>
          <w:tcPr>
            <w:tcW w:type="dxa" w:w="2880"/>
          </w:tcPr>
          <w:p>
            <w:r>
              <w:t>第二阶段</w:t>
            </w:r>
          </w:p>
        </w:tc>
        <w:tc>
          <w:tcPr>
            <w:tcW w:type="dxa" w:w="2880"/>
          </w:tcPr>
          <w:p>
            <w:r>
              <w:t>2026年9月-10月</w:t>
            </w:r>
          </w:p>
        </w:tc>
        <w:tc>
          <w:tcPr>
            <w:tcW w:type="dxa" w:w="2880"/>
          </w:tcPr>
          <w:p>
            <w:r>
              <w:t>数据标准制定与质量评估</w:t>
            </w:r>
          </w:p>
        </w:tc>
      </w:tr>
      <w:tr>
        <w:tc>
          <w:tcPr>
            <w:tcW w:type="dxa" w:w="2880"/>
          </w:tcPr>
          <w:p>
            <w:r>
              <w:t>第三阶段</w:t>
            </w:r>
          </w:p>
        </w:tc>
        <w:tc>
          <w:tcPr>
            <w:tcW w:type="dxa" w:w="2880"/>
          </w:tcPr>
          <w:p>
            <w:r>
              <w:t>2026年11月-12月</w:t>
            </w:r>
          </w:p>
        </w:tc>
        <w:tc>
          <w:tcPr>
            <w:tcW w:type="dxa" w:w="2880"/>
          </w:tcPr>
          <w:p>
            <w:r>
              <w:t>数据质量提升与成果交付</w:t>
            </w:r>
          </w:p>
        </w:tc>
      </w:tr>
    </w:tbl>
    <w:p>
      <w:r>
        <w:t>3.3 乙方应按照里程碑计划推进项目，如需调整计划应提前15日书面通知甲方。</w:t>
      </w:r>
    </w:p>
    <w:p>
      <w:pPr>
        <w:pStyle w:val="Heading2"/>
      </w:pPr>
      <w:r>
        <w:t>第四条 交付物</w:t>
      </w:r>
    </w:p>
    <w:p>
      <w:r>
        <w:t>4.1 乙方应向甲方交付以下成果：</w:t>
      </w:r>
    </w:p>
    <w:p>
      <w:r>
        <w:t>（一）数据治理报告及相关文档；</w:t>
      </w:r>
    </w:p>
    <w:p>
      <w:r>
        <w:t>（二）数据资产目录；</w:t>
      </w:r>
    </w:p>
    <w:p>
      <w:r>
        <w:t>（三）数据标准规范文档；</w:t>
      </w:r>
    </w:p>
    <w:p>
      <w:r>
        <w:t>（四）数据质量评估报告；</w:t>
      </w:r>
    </w:p>
    <w:p>
      <w:r>
        <w:t>（五）数据质量提升方案；</w:t>
      </w:r>
    </w:p>
    <w:p>
      <w:r>
        <w:t>（六）数据治理规划报告。</w:t>
      </w:r>
    </w:p>
    <w:p>
      <w:r>
        <w:t>4.2 交付物应满足甲方的质量要求和验收标准。</w:t>
      </w:r>
    </w:p>
    <w:p>
      <w:r>
        <w:t>4.3 交付物的所有权和知识产权归甲方所有。</w:t>
      </w:r>
    </w:p>
    <w:p>
      <w:pPr>
        <w:pStyle w:val="Heading2"/>
      </w:pPr>
      <w:r>
        <w:t>第五条 验收标准</w:t>
      </w:r>
    </w:p>
    <w:p>
      <w:r>
        <w:t>5.1 甲方应在收到交付物后15个工作日内完成验收。</w:t>
      </w:r>
    </w:p>
    <w:p>
      <w:r>
        <w:t>5.2 验收标准如下：</w:t>
      </w:r>
    </w:p>
    <w:p>
      <w:r>
        <w:t>（一）数据资产盘点覆盖率达到甲方要求；</w:t>
      </w:r>
    </w:p>
    <w:p>
      <w:r>
        <w:t>（二）数据质量显著提升；</w:t>
      </w:r>
    </w:p>
    <w:p>
      <w:r>
        <w:t>（三）交付物完整、准确、规范；</w:t>
      </w:r>
    </w:p>
    <w:p>
      <w:r>
        <w:t>（四）项目成果满足甲方业务需求。</w:t>
      </w:r>
    </w:p>
    <w:p>
      <w:r>
        <w:t>5.3 如交付物未通过验收，甲方应书面通知乙方，乙方应在15个工作日内完成整改并重新提交验收。</w:t>
      </w:r>
    </w:p>
    <w:p>
      <w:r>
        <w:t>5.4 交付物通过验收后，双方应签署验收确认书。</w:t>
      </w:r>
    </w:p>
    <w:p>
      <w:pPr>
        <w:pStyle w:val="Heading2"/>
      </w:pPr>
      <w:r>
        <w:t>第六条 服务费用与支付</w:t>
      </w:r>
    </w:p>
    <w:p>
      <w:r>
        <w:t>6.1 本项目服务总费用为人民币 280万元（大写：贰佰捌拾万元整）。</w:t>
      </w:r>
    </w:p>
    <w:p>
      <w:r>
        <w:t>6.2 费用明细如下：</w:t>
      </w:r>
    </w:p>
    <w:tbl>
      <w:tblPr>
        <w:tblStyle w:val="TableGrid"/>
        <w:tblW w:type="auto" w:w="0"/>
        <w:tblLook w:firstColumn="1" w:firstRow="1" w:lastColumn="0" w:lastRow="0" w:noHBand="0" w:noVBand="1" w:val="04A0"/>
      </w:tblPr>
      <w:tblGrid>
        <w:gridCol w:w="2880"/>
        <w:gridCol w:w="2880"/>
        <w:gridCol w:w="2880"/>
      </w:tblGrid>
      <w:tr>
        <w:tc>
          <w:tcPr>
            <w:tcW w:type="dxa" w:w="2880"/>
          </w:tcPr>
          <w:p>
            <w:r>
              <w:t>服务项目</w:t>
            </w:r>
          </w:p>
        </w:tc>
        <w:tc>
          <w:tcPr>
            <w:tcW w:type="dxa" w:w="2880"/>
          </w:tcPr>
          <w:p>
            <w:r>
              <w:t>费用（万元）</w:t>
            </w:r>
          </w:p>
        </w:tc>
        <w:tc>
          <w:tcPr>
            <w:tcW w:type="dxa" w:w="2880"/>
          </w:tcPr>
          <w:p>
            <w:r>
              <w:t>备注</w:t>
            </w:r>
          </w:p>
        </w:tc>
      </w:tr>
      <w:tr>
        <w:tc>
          <w:tcPr>
            <w:tcW w:type="dxa" w:w="2880"/>
          </w:tcPr>
          <w:p>
            <w:r>
              <w:t>数据资产盘点</w:t>
            </w:r>
          </w:p>
        </w:tc>
        <w:tc>
          <w:tcPr>
            <w:tcW w:type="dxa" w:w="2880"/>
          </w:tcPr>
          <w:p>
            <w:r>
              <w:t>60</w:t>
            </w:r>
          </w:p>
        </w:tc>
        <w:tc>
          <w:tcPr>
            <w:tcW w:type="dxa" w:w="2880"/>
          </w:tcPr>
          <w:p>
            <w:r>
              <w:t>第一阶段</w:t>
            </w:r>
          </w:p>
        </w:tc>
      </w:tr>
      <w:tr>
        <w:tc>
          <w:tcPr>
            <w:tcW w:type="dxa" w:w="2880"/>
          </w:tcPr>
          <w:p>
            <w:r>
              <w:t>数据标准与质量评估</w:t>
            </w:r>
          </w:p>
        </w:tc>
        <w:tc>
          <w:tcPr>
            <w:tcW w:type="dxa" w:w="2880"/>
          </w:tcPr>
          <w:p>
            <w:r>
              <w:t>80</w:t>
            </w:r>
          </w:p>
        </w:tc>
        <w:tc>
          <w:tcPr>
            <w:tcW w:type="dxa" w:w="2880"/>
          </w:tcPr>
          <w:p>
            <w:r>
              <w:t>第二阶段</w:t>
            </w:r>
          </w:p>
        </w:tc>
      </w:tr>
      <w:tr>
        <w:tc>
          <w:tcPr>
            <w:tcW w:type="dxa" w:w="2880"/>
          </w:tcPr>
          <w:p>
            <w:r>
              <w:t>数据质量提升与规划</w:t>
            </w:r>
          </w:p>
        </w:tc>
        <w:tc>
          <w:tcPr>
            <w:tcW w:type="dxa" w:w="2880"/>
          </w:tcPr>
          <w:p>
            <w:r>
              <w:t>100</w:t>
            </w:r>
          </w:p>
        </w:tc>
        <w:tc>
          <w:tcPr>
            <w:tcW w:type="dxa" w:w="2880"/>
          </w:tcPr>
          <w:p>
            <w:r>
              <w:t>第三阶段</w:t>
            </w:r>
          </w:p>
        </w:tc>
      </w:tr>
      <w:tr>
        <w:tc>
          <w:tcPr>
            <w:tcW w:type="dxa" w:w="2880"/>
          </w:tcPr>
          <w:p>
            <w:r>
              <w:t>项目管理与协调</w:t>
            </w:r>
          </w:p>
        </w:tc>
        <w:tc>
          <w:tcPr>
            <w:tcW w:type="dxa" w:w="2880"/>
          </w:tcPr>
          <w:p>
            <w:r>
              <w:t>40</w:t>
            </w:r>
          </w:p>
        </w:tc>
        <w:tc>
          <w:tcPr>
            <w:tcW w:type="dxa" w:w="2880"/>
          </w:tcPr>
          <w:p>
            <w:r>
              <w:t>全程</w:t>
            </w:r>
          </w:p>
        </w:tc>
      </w:tr>
      <w:tr>
        <w:tc>
          <w:tcPr>
            <w:tcW w:type="dxa" w:w="2880"/>
          </w:tcPr>
          <w:p>
            <w:r>
              <w:t>**合计**</w:t>
            </w:r>
          </w:p>
        </w:tc>
        <w:tc>
          <w:tcPr>
            <w:tcW w:type="dxa" w:w="2880"/>
          </w:tcPr>
          <w:p>
            <w:r>
              <w:t>**280**</w:t>
            </w:r>
          </w:p>
        </w:tc>
        <w:tc>
          <w:tcPr>
            <w:tcW w:type="dxa" w:w="2880"/>
          </w:tcPr>
          <w:p>
            <w:r/>
          </w:p>
        </w:tc>
      </w:tr>
    </w:tbl>
    <w:p>
      <w:r>
        <w:t>6.3 支付方式：</w:t>
      </w:r>
    </w:p>
    <w:p>
      <w:r>
        <w:t>（一）合同签署后10个工作日内，甲方支付合同总额的30%，即84万元；</w:t>
      </w:r>
    </w:p>
    <w:p>
      <w:r>
        <w:t>（二）第一阶段验收通过后10个工作日内，甲方支付合同总额的20%，即56万元；</w:t>
      </w:r>
    </w:p>
    <w:p>
      <w:r>
        <w:t>（三）第二阶段验收通过后10个工作日内，甲方支付合同总额的20%，即56万元；</w:t>
      </w:r>
    </w:p>
    <w:p>
      <w:r>
        <w:t>（四）项目整体验收通过后10个工作日内，甲方支付合同总额的30%，即84万元。</w:t>
      </w:r>
    </w:p>
    <w:p>
      <w:r>
        <w:t>6.4 乙方应在收到款项后5个工作日内向甲方开具等额增值税专用发票。</w:t>
      </w:r>
    </w:p>
    <w:p>
      <w:r>
        <w:t>6.5 甲方逾期支付服务费的，每逾期一日按未付金额的0.05%向乙方支付滞纳金。</w:t>
      </w:r>
    </w:p>
    <w:p>
      <w:pPr>
        <w:pStyle w:val="Heading2"/>
      </w:pPr>
      <w:r>
        <w:t>第七条 甲方权利与义务</w:t>
      </w:r>
    </w:p>
    <w:p>
      <w:r>
        <w:t>7.1 甲方有权要求乙方按照合同约定提供数据治理服务。</w:t>
      </w:r>
    </w:p>
    <w:p>
      <w:r>
        <w:t>7.2 甲方应向乙方提供必要的数据访问权限和技术资料。</w:t>
      </w:r>
    </w:p>
    <w:p>
      <w:r>
        <w:t>7.3 甲方应指定专人与乙方对接，协调项目相关事宜。</w:t>
      </w:r>
    </w:p>
    <w:p>
      <w:r>
        <w:t>7.4 甲方应按时足额支付服务费用。</w:t>
      </w:r>
    </w:p>
    <w:p>
      <w:r>
        <w:t>7.5 甲方应配合乙方的调研和访谈工作。</w:t>
      </w:r>
    </w:p>
    <w:p>
      <w:pPr>
        <w:pStyle w:val="Heading2"/>
      </w:pPr>
      <w:r>
        <w:t>第八条 乙方权利与义务</w:t>
      </w:r>
    </w:p>
    <w:p>
      <w:r>
        <w:t>8.1 乙方有权按照合同约定收取服务费用。</w:t>
      </w:r>
    </w:p>
    <w:p>
      <w:r>
        <w:t>8.2 乙方应按照合同约定的服务范围和标准提供数据治理服务。</w:t>
      </w:r>
    </w:p>
    <w:p>
      <w:r>
        <w:t>8.3 乙方应建立完善的项目管理体系，确保项目质量。</w:t>
      </w:r>
    </w:p>
    <w:p>
      <w:r>
        <w:t>8.4 乙方应妥善保管甲方提供的数据和资料。</w:t>
      </w:r>
    </w:p>
    <w:p>
      <w:r>
        <w:t>8.5 乙方应配合甲方的合理监督检查。</w:t>
      </w:r>
    </w:p>
    <w:p>
      <w:r>
        <w:t>8.6 乙方不得擅自将项目转包给第三方。</w:t>
      </w:r>
    </w:p>
    <w:p>
      <w:r>
        <w:t>8.7 乙方应确保项目团队具备相应的专业能力。</w:t>
      </w:r>
    </w:p>
    <w:p>
      <w:pPr>
        <w:pStyle w:val="Heading2"/>
      </w:pPr>
      <w:r>
        <w:t>第九条 数据安全</w:t>
      </w:r>
    </w:p>
    <w:p>
      <w:r>
        <w:t>9.1 乙方在项目过程中将接触甲方的大量业务数据，应采取合理措施保护数据安全。</w:t>
      </w:r>
    </w:p>
    <w:p>
      <w:r>
        <w:t>9.2 乙方应建立数据安全管理制度，明确数据安全责任。</w:t>
      </w:r>
    </w:p>
    <w:p>
      <w:r>
        <w:t>9.3 乙方应确保项目人员遵守甲方的数据安全管理规定。</w:t>
      </w:r>
    </w:p>
    <w:p>
      <w:r>
        <w:t>9.4 乙方不得将甲方数据用于本项目以外的任何目的。</w:t>
      </w:r>
    </w:p>
    <w:p>
      <w:r>
        <w:t>9.5 项目结束后，乙方应按照甲方要求处理项目过程中接触的数据。</w:t>
      </w:r>
    </w:p>
    <w:p>
      <w:pPr>
        <w:pStyle w:val="Heading2"/>
      </w:pPr>
      <w:r>
        <w:t>第十条 保密条款</w:t>
      </w:r>
    </w:p>
    <w:p>
      <w:r>
        <w:t>10.1 双方应对在合同履行过程中知悉的对方保密信息承担保密义务。</w:t>
      </w:r>
    </w:p>
    <w:p>
      <w:r>
        <w:t>10.2 保密期限为本合同有效期内及合同终止后 1年。</w:t>
      </w:r>
    </w:p>
    <w:p>
      <w:r>
        <w:t>10.3 乙方应确保项目人员签署个人保密协议，并报甲方备案。</w:t>
      </w:r>
    </w:p>
    <w:p>
      <w:r>
        <w:t>10.4 以下信息不属于保密信息：</w:t>
      </w:r>
    </w:p>
    <w:p>
      <w:r>
        <w:t>（一）接收方从公开渠道获得的信息；</w:t>
      </w:r>
    </w:p>
    <w:p>
      <w:r>
        <w:t>（二）接收方在接收前已合法拥有的信息；</w:t>
      </w:r>
    </w:p>
    <w:p>
      <w:r>
        <w:t>（三）接收方从有权披露的第三方获得的信息；</w:t>
      </w:r>
    </w:p>
    <w:p>
      <w:r>
        <w:t>（四）接收方独立开发的信息。</w:t>
      </w:r>
    </w:p>
    <w:p>
      <w:r>
        <w:t>10.5 法律法规要求披露或经对方书面同意披露的信息，不受保密义务限制。</w:t>
      </w:r>
    </w:p>
    <w:p>
      <w:pPr>
        <w:pStyle w:val="Heading2"/>
      </w:pPr>
      <w:r>
        <w:t>第十一条 知识产权</w:t>
      </w:r>
    </w:p>
    <w:p>
      <w:r>
        <w:t>11.1 甲方提供的所有数据、资料及相关成果的知识产权归甲方所有。</w:t>
      </w:r>
    </w:p>
    <w:p>
      <w:r>
        <w:t>11.2 乙方为履行本合同而交付的项目成果的知识产权归甲方所有。</w:t>
      </w:r>
    </w:p>
    <w:p>
      <w:r>
        <w:t>11.3 乙方在项目过程中使用的方法论、工具和平台，其知识产权归乙方所有。</w:t>
      </w:r>
    </w:p>
    <w:p>
      <w:r>
        <w:t>11.4 双方应互相尊重对方的知识产权，未经对方书面同意，不得擅自使用或披露。</w:t>
      </w:r>
    </w:p>
    <w:p>
      <w:pPr>
        <w:pStyle w:val="Heading2"/>
      </w:pPr>
      <w:r>
        <w:t>第十二条 违约责任</w:t>
      </w:r>
    </w:p>
    <w:p>
      <w:r>
        <w:t>12.1 任何一方违反本合同约定，应承担违约责任。</w:t>
      </w:r>
    </w:p>
    <w:p>
      <w:r>
        <w:t>12.2 因乙方原因导致项目延期的，每延期一日，乙方应向甲方支付合同总额0.1%的违约金。</w:t>
      </w:r>
    </w:p>
    <w:p>
      <w:r>
        <w:t>12.3 因甲方原因导致项目延期的，乙方不承担违约责任，项目周期相应顺延。</w:t>
      </w:r>
    </w:p>
    <w:p>
      <w:r>
        <w:t>12.4 任何一方违约给对方造成损失的，违约方应赔偿对方的直接经济损失。</w:t>
      </w:r>
    </w:p>
    <w:p>
      <w:r>
        <w:t>12.5 乙方违约的最高赔偿金额不超过合同总额的20%。</w:t>
      </w:r>
    </w:p>
    <w:p>
      <w:pPr>
        <w:pStyle w:val="Heading2"/>
      </w:pPr>
      <w:r>
        <w:t>第十三条 不可抗力</w:t>
      </w:r>
    </w:p>
    <w:p>
      <w:r>
        <w:t>13.1 因不可抗力导致本合同无法履行的，受影响方应在不可抗力发生后15日内书面通知对方，并提供相关证明材料。</w:t>
      </w:r>
    </w:p>
    <w:p>
      <w:r>
        <w:t>13.2 不可抗力包括但不限于自然灾害、战争、政府行为、法律法规变更等。</w:t>
      </w:r>
    </w:p>
    <w:p>
      <w:r>
        <w:t>13.3 因不可抗力导致合同无法履行的，双方均不承担违约责任。</w:t>
      </w:r>
    </w:p>
    <w:p>
      <w:r>
        <w:t>13.4 不可抗力持续超过90日的，任何一方有权书面通知对方终止本合同。</w:t>
      </w:r>
    </w:p>
    <w:p>
      <w:pPr>
        <w:pStyle w:val="Heading2"/>
      </w:pPr>
      <w:r>
        <w:t>第十四条 争议解决</w:t>
      </w:r>
    </w:p>
    <w:p>
      <w:r>
        <w:t>14.1 本合同的签订、履行、解释及争议解决均适用中华人民共和国法律。</w:t>
      </w:r>
    </w:p>
    <w:p>
      <w:r>
        <w:t>14.2 双方在履行本合同过程中发生争议，应首先通过友好协商解决。</w:t>
      </w:r>
    </w:p>
    <w:p>
      <w:r>
        <w:t>14.3 协商不成的，任何一方均有权向北京仲裁委员会申请仲裁。</w:t>
      </w:r>
    </w:p>
    <w:p>
      <w:pPr>
        <w:pStyle w:val="Heading2"/>
      </w:pPr>
      <w:r>
        <w:t>第十五条 合同变更与补充</w:t>
      </w:r>
    </w:p>
    <w:p>
      <w:r>
        <w:t>15.1 本合同的任何修改、补充均应以书面形式作出，并经双方签字盖章后生效。</w:t>
      </w:r>
    </w:p>
    <w:p>
      <w:r>
        <w:t>15.2 本合同的修改、补充与本合同具有同等法律效力。</w:t>
      </w:r>
    </w:p>
    <w:p>
      <w:r>
        <w:t>15.3 本合同未尽事宜，双方可另行签署补充协议。</w:t>
      </w:r>
    </w:p>
    <w:p>
      <w:pPr>
        <w:pStyle w:val="Heading2"/>
      </w:pPr>
      <w:r>
        <w:t>第十六条 其他约定</w:t>
      </w:r>
    </w:p>
    <w:p>
      <w:r>
        <w:t>16.1 本合同自双方签字盖章之日起生效。</w:t>
      </w:r>
    </w:p>
    <w:p>
      <w:r>
        <w:t>16.2 本合同一式四份，甲乙双方各执两份，具有同等法律效力。</w:t>
      </w:r>
    </w:p>
    <w:p>
      <w:r>
        <w:t>16.3 本合同附件为本合同不可分割的组成部分，与本合同正文具有同等法律效力。</w:t>
      </w:r>
    </w:p>
    <w:p>
      <w:r>
        <w:t>16.4 数据脱敏处理条款： 乙方在项目过程中如需使用甲方真实业务数据进行测试或演示，必须事先获得甲方书面批准，并对涉及个人隐私和商业敏感的数据进行脱敏处理。脱敏方案应报甲方审核批准后方可执行。未经脱敏处理的数据不得在甲方指定环境以外的任何系统中使用。</w:t>
      </w:r>
    </w:p>
    <w:p>
      <w:r>
        <w:t>16.5 第三方审计条款： 甲方有权委托独立的第三方审计机构对乙方的项目执行情况进行审计，审计范围包括项目进度、交付质量、数据安全措施等。乙方应予以全面配合，提供必要的文档和系统访问权限。审计费用由甲方承担，但如审计发现乙方存在重大违约行为，审计费用由乙方承担。</w:t>
      </w:r>
    </w:p>
    <w:p>
      <w:r>
        <w:t>──────────────────────────────────────────────────</w:t>
      </w:r>
    </w:p>
    <w:p>
      <w:pPr>
        <w:pStyle w:val="Heading2"/>
      </w:pPr>
      <w:r>
        <w:t>附件清单</w:t>
      </w:r>
    </w:p>
    <w:p>
      <w:pPr>
        <w:pStyle w:val="ListNumber"/>
      </w:pPr>
      <w:r>
        <w:t>附件一：《项目需求说明书》</w:t>
      </w:r>
    </w:p>
    <w:p>
      <w:pPr>
        <w:pStyle w:val="ListNumber"/>
      </w:pPr>
      <w:r>
        <w:t>附件二：《项目计划书》</w:t>
      </w:r>
    </w:p>
    <w:p>
      <w:pPr>
        <w:pStyle w:val="ListNumber"/>
      </w:pPr>
      <w:r>
        <w:t>附件三：《保密协议》</w:t>
      </w:r>
    </w:p>
    <w:p>
      <w:pPr>
        <w:pStyle w:val="ListNumber"/>
      </w:pPr>
      <w:r>
        <w:t>附件四：《验收标准》</w:t>
      </w:r>
    </w:p>
    <w:p>
      <w:pPr>
        <w:pStyle w:val="ListNumber"/>
      </w:pPr>
      <w:r>
        <w:t>附件五：《数据安全管理制度》</w:t>
      </w:r>
    </w:p>
    <w:p>
      <w:r>
        <w:t>──────────────────────────────────────────────────</w:t>
      </w:r>
    </w:p>
    <w:p>
      <w:pPr>
        <w:pStyle w:val="Heading2"/>
      </w:pPr>
      <w:r>
        <w:t>签章区</w:t>
      </w:r>
    </w:p>
    <w:p>
      <w:r>
        <w:t>甲方（盖章）： 华夏能源集团有限公司</w:t>
      </w:r>
    </w:p>
    <w:p>
      <w:r>
        <w:t>法定代表人（或授权代表）签字：________________</w:t>
      </w:r>
    </w:p>
    <w:p>
      <w:r>
        <w:t>日期：______年______月______日</w:t>
      </w:r>
    </w:p>
    <w:p>
      <w:r>
        <w:t>──────────────────────────────────────────────────</w:t>
      </w:r>
    </w:p>
    <w:p>
      <w:r>
        <w:t>乙方（盖章）： 北京数智通达数据科技有限公司</w:t>
      </w:r>
    </w:p>
    <w:p>
      <w:r>
        <w:t>法定代表人（或授权代表）签字：________________</w:t>
      </w:r>
    </w:p>
    <w:p>
      <w:r>
        <w:t>日期：______年______月______日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