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AI模型定制开发合同（智能风控模型）</w:t>
      </w:r>
    </w:p>
    <w:p>
      <w:pPr>
        <w:ind w:left="720"/>
      </w:pPr>
      <w:r>
        <w:rPr>
          <w:i/>
          <w:color w:val="555555"/>
        </w:rPr>
        <w:t>合同背景说明：甲方为华东地区某持牌消费金融公司（注册资本10亿元，用户规模超过500万），为提升信贷风控能力，拟委托乙方定制开发基于机器学习的智能风控模型。项目总预算420万元，包含模型训练、验证、部署及为期6个月的模型监控服务。合同于2026年4月签订，涉及数据预处理、特征工程、模型训练、模型验证、模型部署、模型监控等全流程服务。因涉及大量金融敏感数据和算法决策，合同需特别关注数据安全、模型可解释性、算法合规等问题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合同编号：HT-2026-AI-015</w:t>
      </w:r>
    </w:p>
    <w:p>
      <w:r>
        <w:t>签订日期：2026年4月10日</w:t>
      </w:r>
    </w:p>
    <w:p>
      <w:r>
        <w:t>签订地点：杭州市西湖区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甲方（委托方）</w:t>
      </w:r>
    </w:p>
    <w:p>
      <w:pPr>
        <w:pStyle w:val="ListBullet"/>
      </w:pPr>
      <w:r>
        <w:t>公司名称：信和消费金融有限公司</w:t>
      </w:r>
    </w:p>
    <w:p>
      <w:pPr>
        <w:pStyle w:val="ListBullet"/>
      </w:pPr>
      <w:r>
        <w:t>统一社会信用代码：91330000MA2BXXXX</w:t>
      </w:r>
    </w:p>
    <w:p>
      <w:pPr>
        <w:pStyle w:val="ListBullet"/>
      </w:pPr>
      <w:r>
        <w:t>注册地址：杭州市西湖区文三路478号天苑大厦12层</w:t>
      </w:r>
    </w:p>
    <w:p>
      <w:pPr>
        <w:pStyle w:val="ListBullet"/>
      </w:pPr>
      <w:r>
        <w:t>法定代表人：刘伟明</w:t>
      </w:r>
    </w:p>
    <w:p>
      <w:pPr>
        <w:pStyle w:val="ListBullet"/>
      </w:pPr>
      <w:r>
        <w:t>联系电话：0571-8832XXXX</w:t>
      </w:r>
    </w:p>
    <w:p>
      <w:pPr>
        <w:pStyle w:val="ListBullet"/>
      </w:pPr>
      <w:r>
        <w:t>电子邮箱：lwm@xinhe-finance.com</w:t>
      </w:r>
    </w:p>
    <w:p>
      <w:pPr>
        <w:pStyle w:val="Heading2"/>
      </w:pPr>
      <w:r>
        <w:t>乙方（开发方）</w:t>
      </w:r>
    </w:p>
    <w:p>
      <w:pPr>
        <w:pStyle w:val="ListBullet"/>
      </w:pPr>
      <w:r>
        <w:t>公司名称：智源人工智能科技有限公司</w:t>
      </w:r>
    </w:p>
    <w:p>
      <w:pPr>
        <w:pStyle w:val="ListBullet"/>
      </w:pPr>
      <w:r>
        <w:t>统一社会信用代码：91330000MA2CXXXX</w:t>
      </w:r>
    </w:p>
    <w:p>
      <w:pPr>
        <w:pStyle w:val="ListBullet"/>
      </w:pPr>
      <w:r>
        <w:t>注册地址：杭州市余杭区未来科技城海创园18号楼</w:t>
      </w:r>
    </w:p>
    <w:p>
      <w:pPr>
        <w:pStyle w:val="ListBullet"/>
      </w:pPr>
      <w:r>
        <w:t>法定代表人：赵文博</w:t>
      </w:r>
    </w:p>
    <w:p>
      <w:pPr>
        <w:pStyle w:val="ListBullet"/>
      </w:pPr>
      <w:r>
        <w:t>联系电话：0571-8901XXXX</w:t>
      </w:r>
    </w:p>
    <w:p>
      <w:pPr>
        <w:pStyle w:val="ListBullet"/>
      </w:pPr>
      <w:r>
        <w:t>电子邮箱：zwb@zhiyuan-ai.com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甲方有智能风控模型定制开发的需求，乙方具有人工智能模型设计、训练、部署及运维的专业能力和资质，双方经友好协商，在平等自愿、诚实信用的基础上，依据《中华人民共和国民法典》《中华人民共和国个人信息保护法》《互联网信息服务算法推荐管理规定》及相关法律法规之规定，就甲方委托乙方定制开发智能风控模型事宜达成如下协议：</w:t>
      </w:r>
    </w:p>
    <w:p>
      <w:pPr>
        <w:pStyle w:val="Heading2"/>
      </w:pPr>
      <w:r>
        <w:t>第一条 定义与解释</w:t>
      </w:r>
    </w:p>
    <w:p>
      <w:r>
        <w:t>1.1 "合同模型" 指根据本合同约定由乙方为甲方定制开发的智能风控模型，包括但不限于信用评分模型、欺诈检测模型、逾期预测模型等。</w:t>
      </w:r>
    </w:p>
    <w:p>
      <w:r>
        <w:t>1.2 "训练数据" 指甲方提供给乙方用于模型训练的数据，包括用户基本信息、信贷记录、交易数据、行为数据等。</w:t>
      </w:r>
    </w:p>
    <w:p>
      <w:r>
        <w:t>1.3 "模型准确率" 指合同模型在测试数据集上的预测准确程度，具体指标包括AUC、KS值、精确率、召回率等。</w:t>
      </w:r>
    </w:p>
    <w:p>
      <w:r>
        <w:t>1.4 "模型偏差" 指合同模型在预测过程中对特定群体（如特定性别、年龄、地域等）产生的不公平差异。</w:t>
      </w:r>
    </w:p>
    <w:p>
      <w:r>
        <w:t>1.5 "模型可解释性" 指合同模型的决策过程和预测结果能够被人类理解和解释的程度。</w:t>
      </w:r>
    </w:p>
    <w:p>
      <w:r>
        <w:t>1.6 "部署" 指将训练完成的合同模型集成到甲方的生产环境并正式投入使用。</w:t>
      </w:r>
    </w:p>
    <w:p>
      <w:pPr>
        <w:pStyle w:val="Heading2"/>
      </w:pPr>
      <w:r>
        <w:t>第二条 项目范围与服务内容</w:t>
      </w:r>
    </w:p>
    <w:p>
      <w:r>
        <w:t>2.1 乙方为甲方提供以下智能风控模型定制开发服务：</w:t>
      </w:r>
    </w:p>
    <w:p>
      <w:r>
        <w:t>（一）数据预处理：对甲方提供的原始数据进行清洗、脱敏、特征提取等预处理工作；</w:t>
      </w:r>
    </w:p>
    <w:p>
      <w:r>
        <w:t>（二）特征工程：基于甲方业务场景，构建风控特征体系，包括基础特征、交叉特征、时序特征等；</w:t>
      </w:r>
    </w:p>
    <w:p>
      <w:r>
        <w:t>（三）模型训练：基于甲方数据训练信用评分模型、欺诈检测模型、逾期预测模型；</w:t>
      </w:r>
    </w:p>
    <w:p>
      <w:r>
        <w:t>（四）模型验证：对训练完成的模型进行全面验证，包括性能评估、稳定性测试、公平性测试等；</w:t>
      </w:r>
    </w:p>
    <w:p>
      <w:r>
        <w:t>（五）模型部署：将验证通过的模型部署到甲方的生产环境，提供API接口服务；</w:t>
      </w:r>
    </w:p>
    <w:p>
      <w:r>
        <w:t>（六）模型监控：提供为期6个月的模型监控服务，包括模型性能监控、数据漂移检测、模型迭代建议等。</w:t>
      </w:r>
    </w:p>
    <w:p>
      <w:r>
        <w:t>2.2 乙方应确保合同模型达到行业领先水平。</w:t>
      </w:r>
    </w:p>
    <w:p>
      <w:r>
        <w:t>2.3 乙方应确保合同模型符合金融监管机构的相关要求。</w:t>
      </w:r>
    </w:p>
    <w:p>
      <w:r>
        <w:t>2.4 乙方应提供模型的技术文档、使用手册和培训服务。</w:t>
      </w:r>
    </w:p>
    <w:p>
      <w:r>
        <w:t>2.5 项目服务内容详见附件一《项目服务清单》。</w:t>
      </w:r>
    </w:p>
    <w:p>
      <w:pPr>
        <w:pStyle w:val="Heading2"/>
      </w:pPr>
      <w:r>
        <w:t>第三条 项目实施计划</w:t>
      </w:r>
    </w:p>
    <w:p>
      <w:r>
        <w:t>3.1 项目总周期为12个月，自合同生效之日起计算，具体里程碑节点如下：</w:t>
      </w:r>
    </w:p>
    <w:p>
      <w:r>
        <w:t>（一）第一阶段（第1-2个月）：数据预处理与特征工程；</w:t>
      </w:r>
    </w:p>
    <w:p>
      <w:r>
        <w:t>（二）第二阶段（第3-5个月）：模型训练与调优；</w:t>
      </w:r>
    </w:p>
    <w:p>
      <w:r>
        <w:t>（三）第三阶段（第6-7个月）：模型验证与测试；</w:t>
      </w:r>
    </w:p>
    <w:p>
      <w:r>
        <w:t>（四）第四阶段（第8-9个月）：模型部署与上线；</w:t>
      </w:r>
    </w:p>
    <w:p>
      <w:r>
        <w:t>（五）第五阶段（第10-12个月）：模型监控与优化。</w:t>
      </w:r>
    </w:p>
    <w:p>
      <w:r>
        <w:t>3.2 乙方应于每阶段结束后5个工作日内向甲方提交阶段性成果报告。</w:t>
      </w:r>
    </w:p>
    <w:p>
      <w:r>
        <w:t>3.3 项目总体进度计划详见附件二《项目实施计划表》。</w:t>
      </w:r>
    </w:p>
    <w:p>
      <w:pPr>
        <w:pStyle w:val="Heading2"/>
      </w:pPr>
      <w:r>
        <w:t>第四条 数据提供与使用</w:t>
      </w:r>
    </w:p>
    <w:p>
      <w:r>
        <w:t>4.1 甲方应在合同签订后15个工作日内向乙方提供模型训练所需的数据，数据范围和格式见附件三《数据需求规格》。</w:t>
      </w:r>
    </w:p>
    <w:p>
      <w:r>
        <w:t>4.2 甲方提供的数据应经过脱敏处理，不包含可直接识别个人身份的信息。</w:t>
      </w:r>
    </w:p>
    <w:p>
      <w:r>
        <w:t>4.3 乙方应仅将甲方提供的数据用于本合同约定的模型训练目的，不得用于其他任何目的。</w:t>
      </w:r>
    </w:p>
    <w:p>
      <w:r>
        <w:t>4.4 乙方应建立健全的数据安全管理制度，确保甲方数据的安全性和保密性。</w:t>
      </w:r>
    </w:p>
    <w:p>
      <w:r>
        <w:t>4.5 项目结束后，乙方应删除其持有的所有甲方数据，并提供书面证明。</w:t>
      </w:r>
    </w:p>
    <w:p>
      <w:r>
        <w:t>4.6 甲方数据的所有权归甲方所有，乙方不得擅自使用或向第三方提供。</w:t>
      </w:r>
    </w:p>
    <w:p>
      <w:pPr>
        <w:pStyle w:val="Heading2"/>
      </w:pPr>
      <w:r>
        <w:t>第五条 知识产权</w:t>
      </w:r>
    </w:p>
    <w:p>
      <w:r>
        <w:t>5.1 本合同项下开发完成的合同模型（包括但不限于模型算法、模型参数、特征工程方案、技术文档等）的知识产权归甲方所有。</w:t>
      </w:r>
    </w:p>
    <w:p>
      <w:r>
        <w:t>5.2 乙方在开发过程中使用的自有算法框架、工具库、通用组件等的知识产权仍归乙方所有。</w:t>
      </w:r>
    </w:p>
    <w:p>
      <w:r>
        <w:t>5.3 乙方同意将与合同模型相关的乙方工具以永久免费、不可撤销的方式许可甲方使用。</w:t>
      </w:r>
    </w:p>
    <w:p>
      <w:r>
        <w:t>5.4 使用甲方数据训练的模型归甲方所有，乙方不得保留模型副本或用于其他商业目的。</w:t>
      </w:r>
    </w:p>
    <w:p>
      <w:r>
        <w:t>5.5 乙方保证合同模型不侵犯任何第三方的知识产权。</w:t>
      </w:r>
    </w:p>
    <w:p>
      <w:pPr>
        <w:pStyle w:val="Heading2"/>
      </w:pPr>
      <w:r>
        <w:t>第六条 项目验收</w:t>
      </w:r>
    </w:p>
    <w:p>
      <w:r>
        <w:t>6.1 乙方完成模型开发后，应以书面形式通知甲方进行验收。</w:t>
      </w:r>
    </w:p>
    <w:p>
      <w:r>
        <w:t>6.2 甲方应在收到乙方验收通知后20个工作日内组织验收工作。</w:t>
      </w:r>
    </w:p>
    <w:p>
      <w:r>
        <w:t>6.3 合同模型达到行业领先水平即视为验收通过。</w:t>
      </w:r>
    </w:p>
    <w:p>
      <w:r>
        <w:t>6.4 验收过程中发现的问题，乙方应在甲方书面通知后及时修复。</w:t>
      </w:r>
    </w:p>
    <w:p>
      <w:r>
        <w:t>6.5 甲方逾期未组织验收且未书面说明原因的，视为验收通过。</w:t>
      </w:r>
    </w:p>
    <w:p>
      <w:r>
        <w:t>6.6 验收标准和流程详见附件四《验收标准及流程》。</w:t>
      </w:r>
    </w:p>
    <w:p>
      <w:pPr>
        <w:pStyle w:val="Heading2"/>
      </w:pPr>
      <w:r>
        <w:t>第七条 合同价款与付款方式</w:t>
      </w:r>
    </w:p>
    <w:p>
      <w:r>
        <w:t>7.1 本合同总价款为人民币肆佰贰拾万元整（¥4,200,000.00），含税价格，乙方应提供增值税专用发票。</w:t>
      </w:r>
    </w:p>
    <w:p>
      <w:r>
        <w:t>7.2 付款方式按以下时间节点分期支付：</w:t>
      </w:r>
    </w:p>
    <w:p>
      <w:r>
        <w:t>（一）合同签订后10个工作日内，甲方支付合同总价的20%，即人民币捌拾肆万元整（¥840,000.00）作为项目启动款；</w:t>
      </w:r>
    </w:p>
    <w:p>
      <w:r>
        <w:t>（二）数据预处理与特征工程完成后10个工作日内，甲方支付合同总价的15%，即人民币陆拾叁万元整（¥630,000.00）；</w:t>
      </w:r>
    </w:p>
    <w:p>
      <w:r>
        <w:t>（三）模型训练完成并通过初步验证后10个工作日内，甲方支付合同总价的25%，即人民币壹佰零伍万元整（¥1,050,000.00）；</w:t>
      </w:r>
    </w:p>
    <w:p>
      <w:r>
        <w:t>（四）模型部署上线后10个工作日内，甲方支付合同总价的25%，即人民币壹佰零伍万元整（¥1,050,000.00）；</w:t>
      </w:r>
    </w:p>
    <w:p>
      <w:r>
        <w:t>（五）模型监控服务期满后10个工作日内，甲方支付合同总价的10%，即人民币肆拾贰万元整（¥420,000.00）；</w:t>
      </w:r>
    </w:p>
    <w:p>
      <w:r>
        <w:t>（六）质保期满后10个工作日内，甲方支付合同总价的5%，即人民币贰拾壹万元整（¥210,000.00）作为质保金。</w:t>
      </w:r>
    </w:p>
    <w:p>
      <w:r>
        <w:t>7.3 甲方应将款项支付至乙方指定的银行账户：</w:t>
      </w:r>
    </w:p>
    <w:p>
      <w:pPr>
        <w:pStyle w:val="ListBullet"/>
      </w:pPr>
      <w:r>
        <w:t>开户行：中国银行杭州市未来科技城支行</w:t>
      </w:r>
    </w:p>
    <w:p>
      <w:pPr>
        <w:pStyle w:val="ListBullet"/>
      </w:pPr>
      <w:r>
        <w:t>账户名称：智源人工智能科技有限公司</w:t>
      </w:r>
    </w:p>
    <w:p>
      <w:pPr>
        <w:pStyle w:val="ListBullet"/>
      </w:pPr>
      <w:r>
        <w:t>账号：4013 6120 0180 0123 456</w:t>
      </w:r>
    </w:p>
    <w:p>
      <w:pPr>
        <w:pStyle w:val="Heading2"/>
      </w:pPr>
      <w:r>
        <w:t>第八条 甲方权利与义务</w:t>
      </w:r>
    </w:p>
    <w:p>
      <w:r>
        <w:t>8.1 甲方应指定项目负责人，负责与乙方的日常沟通协调工作。</w:t>
      </w:r>
    </w:p>
    <w:p>
      <w:r>
        <w:t>8.2 甲方应在合同签订后15个工作日内向乙方提供模型训练所需的数据。</w:t>
      </w:r>
    </w:p>
    <w:p>
      <w:r>
        <w:t>8.3 甲方应按本合同约定的时间节点及时支付合同款项。</w:t>
      </w:r>
    </w:p>
    <w:p>
      <w:r>
        <w:t>8.4 甲方有权对乙方的项目实施过程进行监督和检查。</w:t>
      </w:r>
    </w:p>
    <w:p>
      <w:r>
        <w:t>8.5 甲方应配合乙方进行数据对接、模型测试及验收工作。</w:t>
      </w:r>
    </w:p>
    <w:p>
      <w:r>
        <w:t>8.6 甲方应确保提供的数据合法合规，不侵犯任何第三方的合法权益。</w:t>
      </w:r>
    </w:p>
    <w:p>
      <w:pPr>
        <w:pStyle w:val="Heading2"/>
      </w:pPr>
      <w:r>
        <w:t>第九条 乙方权利与义务</w:t>
      </w:r>
    </w:p>
    <w:p>
      <w:r>
        <w:t>9.1 乙方应组建专业的项目团队，项目团队成员名单及资质见附件五。</w:t>
      </w:r>
    </w:p>
    <w:p>
      <w:r>
        <w:t>9.2 乙方应按照合同约定的时间节点和质量标准完成项目开发工作。</w:t>
      </w:r>
    </w:p>
    <w:p>
      <w:r>
        <w:t>9.3 乙方应指定项目经理作为本项目的唯一联系人。</w:t>
      </w:r>
    </w:p>
    <w:p>
      <w:r>
        <w:t>9.4 乙方应建立健全的项目管理体系，定期向甲方报告项目进展情况。</w:t>
      </w:r>
    </w:p>
    <w:p>
      <w:r>
        <w:t>9.5 乙方应对甲方提供的数据承担保密义务。</w:t>
      </w:r>
    </w:p>
    <w:p>
      <w:r>
        <w:t>9.6 乙方有权按照合同约定收取项目款项。</w:t>
      </w:r>
    </w:p>
    <w:p>
      <w:r>
        <w:t>9.7 乙方保证合同模型不侵犯任何第三方的知识产权。</w:t>
      </w:r>
    </w:p>
    <w:p>
      <w:pPr>
        <w:pStyle w:val="Heading2"/>
      </w:pPr>
      <w:r>
        <w:t>第十条 保密条款</w:t>
      </w:r>
    </w:p>
    <w:p>
      <w:r>
        <w:t>10.1 双方对在合同签订和履行过程中知悉的对方商业秘密、技术秘密及其他保密信息负有保密义务。</w:t>
      </w:r>
    </w:p>
    <w:p>
      <w:r>
        <w:t>10.2 保密信息包括但不限于：甲方的用户数据、信贷数据、业务策略、乙方的算法方案、模型参数等。</w:t>
      </w:r>
    </w:p>
    <w:p>
      <w:r>
        <w:t>10.3 未经信息提供方书面同意，接收方不得向任何第三方披露、传播或使用保密信息。</w:t>
      </w:r>
    </w:p>
    <w:p>
      <w:r>
        <w:t>10.4 保密义务自合同签订之日起生效，持续至合同终止后3年内有效。</w:t>
      </w:r>
    </w:p>
    <w:p>
      <w:pPr>
        <w:pStyle w:val="Heading2"/>
      </w:pPr>
      <w:r>
        <w:t>第十一条 违约责任</w:t>
      </w:r>
    </w:p>
    <w:p>
      <w:r>
        <w:t>11.1 甲方违约责任：</w:t>
      </w:r>
    </w:p>
    <w:p>
      <w:r>
        <w:t>（一）甲方未按合同约定的时间节点支付款项的，每延迟一天，应向乙方支付应付未付金额的0.05%作为违约金；</w:t>
      </w:r>
    </w:p>
    <w:p>
      <w:r>
        <w:t>（二）甲方延迟付款超过30天的，乙方有权暂停项目工作。</w:t>
      </w:r>
    </w:p>
    <w:p>
      <w:r>
        <w:t>11.2 乙方违约责任：</w:t>
      </w:r>
    </w:p>
    <w:p>
      <w:r>
        <w:t>（一）乙方未按合同约定的时间节点完成阶段性交付物的，应及时向甲方说明原因并提交整改计划；</w:t>
      </w:r>
    </w:p>
    <w:p>
      <w:r>
        <w:t>（二）乙方延迟交付的，甲方有权要求乙方加快进度。</w:t>
      </w:r>
    </w:p>
    <w:p>
      <w:r>
        <w:t>11.3 因不可抗力导致一方无法履行合同义务的，该方不承担违约责任。</w:t>
      </w:r>
    </w:p>
    <w:p>
      <w:pPr>
        <w:pStyle w:val="Heading2"/>
      </w:pPr>
      <w:r>
        <w:t>第十二条 数据安全与隐私保护</w:t>
      </w:r>
    </w:p>
    <w:p>
      <w:r>
        <w:t>12.1 乙方应确保在数据处理过程中严格遵守《个人信息保护法》《数据安全法》等相关法律法规。</w:t>
      </w:r>
    </w:p>
    <w:p>
      <w:r>
        <w:t>12.2 乙方应采取必要的技术措施保障数据安全，包括但不限于：数据加密存储和传输、访问控制、操作日志记录、安全审计等。</w:t>
      </w:r>
    </w:p>
    <w:p>
      <w:r>
        <w:t>12.3 乙方应确保数据处理活动符合甲方的数据安全管理制度。</w:t>
      </w:r>
    </w:p>
    <w:p>
      <w:r>
        <w:t>12.4 发生数据泄露事件时，乙方应在2小时内通知甲方，并协助甲方采取应急措施。</w:t>
      </w:r>
    </w:p>
    <w:p>
      <w:r>
        <w:t>12.5 乙方应定期进行数据安全风险评估，并向甲方提交评估报告。</w:t>
      </w:r>
    </w:p>
    <w:p>
      <w:pPr>
        <w:pStyle w:val="Heading2"/>
      </w:pPr>
      <w:r>
        <w:t>第十三条 质保与售后服务</w:t>
      </w:r>
    </w:p>
    <w:p>
      <w:r>
        <w:t>13.1 模型部署上线之日起12个月为质保期。</w:t>
      </w:r>
    </w:p>
    <w:p>
      <w:r>
        <w:t>13.2 质保期内，乙方应提供以下服务：</w:t>
      </w:r>
    </w:p>
    <w:p>
      <w:r>
        <w:t>（一）免费修复模型运行过程中出现的技术问题；</w:t>
      </w:r>
    </w:p>
    <w:p>
      <w:r>
        <w:t>（二）提供模型性能监控服务；</w:t>
      </w:r>
    </w:p>
    <w:p>
      <w:r>
        <w:t>（三）模型出现重大问题时，乙方应在4小时内响应，24小时内提供解决方案。</w:t>
      </w:r>
    </w:p>
    <w:p>
      <w:r>
        <w:t>13.3 质保期满后，双方可另行签订维护服务合同。</w:t>
      </w:r>
    </w:p>
    <w:p>
      <w:pPr>
        <w:pStyle w:val="Heading2"/>
      </w:pPr>
      <w:r>
        <w:t>第十四条 争议解决</w:t>
      </w:r>
    </w:p>
    <w:p>
      <w:r>
        <w:t>14.1 因本合同引起的或与本合同有关的任何争议，双方应首先通过友好协商解决。</w:t>
      </w:r>
    </w:p>
    <w:p>
      <w:r>
        <w:t>14.2 协商不成的，任何一方均有权向本合同签订地有管辖权的人民法院提起诉讼。</w:t>
      </w:r>
    </w:p>
    <w:p>
      <w:pPr>
        <w:pStyle w:val="Heading2"/>
      </w:pPr>
      <w:r>
        <w:t>第十五条 合同的变更、解除和终止</w:t>
      </w:r>
    </w:p>
    <w:p>
      <w:r>
        <w:t>15.1 经双方协商一致，可以书面形式变更或解除本合同。</w:t>
      </w:r>
    </w:p>
    <w:p>
      <w:r>
        <w:t>15.2 有下列情形之一的，一方可书面通知对方解除本合同：</w:t>
      </w:r>
    </w:p>
    <w:p>
      <w:r>
        <w:t>（一）一方严重违反本合同约定，经书面通知后30日内仍未纠正的；</w:t>
      </w:r>
    </w:p>
    <w:p>
      <w:r>
        <w:t>（二）一方被依法宣告破产、解散或吊销营业执照的。</w:t>
      </w:r>
    </w:p>
    <w:p>
      <w:pPr>
        <w:pStyle w:val="Heading2"/>
      </w:pPr>
      <w:r>
        <w:t>第十六条 其他约定</w:t>
      </w:r>
    </w:p>
    <w:p>
      <w:r>
        <w:t>16.1 本合同自双方法定代表人或授权代表签字并加盖公章之日起生效。</w:t>
      </w:r>
    </w:p>
    <w:p>
      <w:r>
        <w:t>16.2 本合同一式肆份，甲乙双方各执贰份，具有同等法律效力。</w:t>
      </w:r>
    </w:p>
    <w:p>
      <w:r>
        <w:t>16.3 本合同的附件是本合同不可分割的组成部分，与本合同正文具有同等法律效力。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Number"/>
      </w:pPr>
      <w:r>
        <w:t>附件一：《项目服务清单》</w:t>
      </w:r>
    </w:p>
    <w:p>
      <w:pPr>
        <w:pStyle w:val="ListNumber"/>
      </w:pPr>
      <w:r>
        <w:t>附件二：《项目实施计划表》</w:t>
      </w:r>
    </w:p>
    <w:p>
      <w:pPr>
        <w:pStyle w:val="ListNumber"/>
      </w:pPr>
      <w:r>
        <w:t>附件三：《数据需求规格》</w:t>
      </w:r>
    </w:p>
    <w:p>
      <w:pPr>
        <w:pStyle w:val="ListNumber"/>
      </w:pPr>
      <w:r>
        <w:t>附件四：《验收标准及流程》</w:t>
      </w:r>
    </w:p>
    <w:p>
      <w:pPr>
        <w:pStyle w:val="ListNumber"/>
      </w:pPr>
      <w:r>
        <w:t>附件五：《项目团队成员名单及资质》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甲方（盖章）：信和消费金融有限公司</w:t>
      </w:r>
    </w:p>
    <w:p>
      <w:r>
        <w:t>法定代表人（或授权代表）签字：________________</w:t>
      </w:r>
    </w:p>
    <w:p>
      <w:r>
        <w:t>日期：2026年4月10日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乙方（盖章）：智源人工智能科技有限公司</w:t>
      </w:r>
    </w:p>
    <w:p>
      <w:r>
        <w:t>法定代表人（或授权代表）签字：________________</w:t>
      </w:r>
    </w:p>
    <w:p>
      <w:r>
        <w:t>日期：2026年4月10日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