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医疗器械采购合同</w:t>
      </w:r>
    </w:p>
    <w:p>
      <w:pPr>
        <w:ind w:left="720"/>
      </w:pPr>
      <w:r>
        <w:rPr>
          <w:i/>
          <w:color w:val="555555"/>
        </w:rPr>
        <w:t>合同背景说明</w:t>
      </w:r>
    </w:p>
    <w:p>
      <w:pPr>
        <w:ind w:left="720"/>
      </w:pPr>
      <w:r>
        <w:rPr>
          <w:i/>
          <w:color w:val="555555"/>
        </w:rPr>
      </w:r>
    </w:p>
    <w:p>
      <w:pPr>
        <w:ind w:left="720"/>
      </w:pPr>
      <w:r>
        <w:rPr>
          <w:i/>
          <w:color w:val="555555"/>
        </w:rPr>
        <w:t>甲方为某省三级甲等综合医院，为提升医疗影像诊断能力，拟采购高端医疗影像设备一批，包括磁共振成像系统（MRI）、计算机断层扫描系统（CT）、数字减影血管造影系统（DSA）等，总价3200万元。乙方为国内知名医疗设备制造商，拥有完整的医疗器械产品线和完善的售后服务体系。双方经友好协商，就设备采购事宜达成协议，合同包含设备供应、安装调试、培训服务、售后服务等内容。</w:t>
      </w:r>
    </w:p>
    <w:p>
      <w:r>
        <w:t>──────────────────────────────────────────────────</w:t>
      </w:r>
    </w:p>
    <w:p>
      <w:r>
        <w:t>合同编号： CG-MP-2026-031</w:t>
      </w:r>
    </w:p>
    <w:p>
      <w:r>
        <w:t>签订日期： 2026年6月18日</w:t>
      </w:r>
    </w:p>
    <w:p>
      <w:r>
        <w:t>签订地点： 武汉市武昌区</w:t>
      </w:r>
    </w:p>
    <w:p>
      <w:r>
        <w:t>──────────────────────────────────────────────────</w:t>
      </w:r>
    </w:p>
    <w:p>
      <w:r>
        <w:t>甲方（采购方）：华中科技大学同济医学院附属协和医院</w:t>
      </w:r>
    </w:p>
    <w:p>
      <w:pPr>
        <w:pStyle w:val="ListBullet"/>
      </w:pPr>
      <w:r>
        <w:t>统一社会信用代码：12420000420001234X</w:t>
      </w:r>
    </w:p>
    <w:p>
      <w:pPr>
        <w:pStyle w:val="ListBullet"/>
      </w:pPr>
      <w:r>
        <w:t>地址：武汉市武昌区解放大道1277号</w:t>
      </w:r>
    </w:p>
    <w:p>
      <w:pPr>
        <w:pStyle w:val="ListBullet"/>
      </w:pPr>
      <w:r>
        <w:t>法定代表人：胡豫（院长）</w:t>
      </w:r>
    </w:p>
    <w:p>
      <w:pPr>
        <w:pStyle w:val="ListBullet"/>
      </w:pPr>
      <w:r>
        <w:t>联系电话：027-85726114</w:t>
      </w:r>
    </w:p>
    <w:p>
      <w:pPr>
        <w:pStyle w:val="ListBullet"/>
      </w:pPr>
      <w:r>
        <w:t>电子邮箱：hu.yu@whuh.com</w:t>
      </w:r>
    </w:p>
    <w:p>
      <w:r>
        <w:t>乙方（供应商）：联影医疗科技股份有限公司</w:t>
      </w:r>
    </w:p>
    <w:p>
      <w:pPr>
        <w:pStyle w:val="ListBullet"/>
      </w:pPr>
      <w:r>
        <w:t>统一社会信用代码：913100005678901234</w:t>
      </w:r>
    </w:p>
    <w:p>
      <w:pPr>
        <w:pStyle w:val="ListBullet"/>
      </w:pPr>
      <w:r>
        <w:t>注册地址：上海市嘉定区城北路2258号</w:t>
      </w:r>
    </w:p>
    <w:p>
      <w:pPr>
        <w:pStyle w:val="ListBullet"/>
      </w:pPr>
      <w:r>
        <w:t>法定代表人：张强</w:t>
      </w:r>
    </w:p>
    <w:p>
      <w:pPr>
        <w:pStyle w:val="ListBullet"/>
      </w:pPr>
      <w:r>
        <w:t>联系电话：021-60766666</w:t>
      </w:r>
    </w:p>
    <w:p>
      <w:pPr>
        <w:pStyle w:val="ListBullet"/>
      </w:pPr>
      <w:r>
        <w:t>电子邮箱：zhang.q@united-imaging.com</w:t>
      </w:r>
    </w:p>
    <w:p>
      <w:r>
        <w:t>──────────────────────────────────────────────────</w:t>
      </w:r>
    </w:p>
    <w:p>
      <w:r>
        <w:t>鉴于：</w:t>
      </w:r>
    </w:p>
    <w:p>
      <w:pPr>
        <w:pStyle w:val="ListNumber"/>
      </w:pPr>
      <w:r>
        <w:t>甲方为提升医疗影像诊断能力，拟采购高端医疗影像设备一批；</w:t>
      </w:r>
    </w:p>
    <w:p>
      <w:pPr>
        <w:pStyle w:val="ListNumber"/>
      </w:pPr>
      <w:r>
        <w:t>乙方为国内知名医疗设备制造商，拥有先进的医疗影像技术和完善的售后服务体系；</w:t>
      </w:r>
    </w:p>
    <w:p>
      <w:pPr>
        <w:pStyle w:val="ListNumber"/>
      </w:pPr>
      <w:r>
        <w:t>双方希望通过本次采购合作，建立长期稳定的供需关系。</w:t>
      </w:r>
    </w:p>
    <w:p>
      <w:r>
        <w:t>经双方友好协商，就设备采购事宜达成如下协议：</w:t>
      </w:r>
    </w:p>
    <w:p>
      <w:r>
        <w:t>──────────────────────────────────────────────────</w:t>
      </w:r>
    </w:p>
    <w:p>
      <w:pPr>
        <w:pStyle w:val="Heading2"/>
      </w:pPr>
      <w:r>
        <w:t>第一条 采购设备清单</w:t>
      </w:r>
    </w:p>
    <w:p>
      <w:r>
        <w:t>1.1 甲方同意向乙方采购以下医疗影像设备，具体清单如下：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设备名称</w:t>
            </w:r>
          </w:p>
        </w:tc>
        <w:tc>
          <w:tcPr>
            <w:tcW w:type="dxa" w:w="1440"/>
          </w:tcPr>
          <w:p>
            <w:r>
              <w:t>型号</w:t>
            </w:r>
          </w:p>
        </w:tc>
        <w:tc>
          <w:tcPr>
            <w:tcW w:type="dxa" w:w="1440"/>
          </w:tcPr>
          <w:p>
            <w:r>
              <w:t>数量</w:t>
            </w:r>
          </w:p>
        </w:tc>
        <w:tc>
          <w:tcPr>
            <w:tcW w:type="dxa" w:w="1440"/>
          </w:tcPr>
          <w:p>
            <w:r>
              <w:t>单价（万元）</w:t>
            </w:r>
          </w:p>
        </w:tc>
        <w:tc>
          <w:tcPr>
            <w:tcW w:type="dxa" w:w="1440"/>
          </w:tcPr>
          <w:p>
            <w:r>
              <w:t>小计（万元）</w:t>
            </w:r>
          </w:p>
        </w:tc>
      </w:tr>
      <w:tr>
        <w:tc>
          <w:tcPr>
            <w:tcW w:type="dxa" w:w="1440"/>
          </w:tcPr>
          <w:p>
            <w:r>
              <w:t>1</w:t>
            </w:r>
          </w:p>
        </w:tc>
        <w:tc>
          <w:tcPr>
            <w:tcW w:type="dxa" w:w="1440"/>
          </w:tcPr>
          <w:p>
            <w:r>
              <w:t>磁共振成像系统（MRI）</w:t>
            </w:r>
          </w:p>
        </w:tc>
        <w:tc>
          <w:tcPr>
            <w:tcW w:type="dxa" w:w="1440"/>
          </w:tcPr>
          <w:p>
            <w:r>
              <w:t>uMR 790</w:t>
            </w:r>
          </w:p>
        </w:tc>
        <w:tc>
          <w:tcPr>
            <w:tcW w:type="dxa" w:w="1440"/>
          </w:tcPr>
          <w:p>
            <w:r>
              <w:t>1台</w:t>
            </w:r>
          </w:p>
        </w:tc>
        <w:tc>
          <w:tcPr>
            <w:tcW w:type="dxa" w:w="1440"/>
          </w:tcPr>
          <w:p>
            <w:r>
              <w:t>1200</w:t>
            </w:r>
          </w:p>
        </w:tc>
        <w:tc>
          <w:tcPr>
            <w:tcW w:type="dxa" w:w="1440"/>
          </w:tcPr>
          <w:p>
            <w:r>
              <w:t>1200</w:t>
            </w:r>
          </w:p>
        </w:tc>
      </w:tr>
      <w:tr>
        <w:tc>
          <w:tcPr>
            <w:tcW w:type="dxa" w:w="1440"/>
          </w:tcPr>
          <w:p>
            <w:r>
              <w:t>2</w:t>
            </w:r>
          </w:p>
        </w:tc>
        <w:tc>
          <w:tcPr>
            <w:tcW w:type="dxa" w:w="1440"/>
          </w:tcPr>
          <w:p>
            <w:r>
              <w:t>计算机断层扫描系统（CT）</w:t>
            </w:r>
          </w:p>
        </w:tc>
        <w:tc>
          <w:tcPr>
            <w:tcW w:type="dxa" w:w="1440"/>
          </w:tcPr>
          <w:p>
            <w:r>
              <w:t>uCT 960+</w:t>
            </w:r>
          </w:p>
        </w:tc>
        <w:tc>
          <w:tcPr>
            <w:tcW w:type="dxa" w:w="1440"/>
          </w:tcPr>
          <w:p>
            <w:r>
              <w:t>2台</w:t>
            </w:r>
          </w:p>
        </w:tc>
        <w:tc>
          <w:tcPr>
            <w:tcW w:type="dxa" w:w="1440"/>
          </w:tcPr>
          <w:p>
            <w:r>
              <w:t>500</w:t>
            </w:r>
          </w:p>
        </w:tc>
        <w:tc>
          <w:tcPr>
            <w:tcW w:type="dxa" w:w="1440"/>
          </w:tcPr>
          <w:p>
            <w:r>
              <w:t>1000</w:t>
            </w:r>
          </w:p>
        </w:tc>
      </w:tr>
      <w:tr>
        <w:tc>
          <w:tcPr>
            <w:tcW w:type="dxa" w:w="1440"/>
          </w:tcPr>
          <w:p>
            <w:r>
              <w:t>3</w:t>
            </w:r>
          </w:p>
        </w:tc>
        <w:tc>
          <w:tcPr>
            <w:tcW w:type="dxa" w:w="1440"/>
          </w:tcPr>
          <w:p>
            <w:r>
              <w:t>数字减影血管造影系统（DSA）</w:t>
            </w:r>
          </w:p>
        </w:tc>
        <w:tc>
          <w:tcPr>
            <w:tcW w:type="dxa" w:w="1440"/>
          </w:tcPr>
          <w:p>
            <w:r>
              <w:t>uAngio 960</w:t>
            </w:r>
          </w:p>
        </w:tc>
        <w:tc>
          <w:tcPr>
            <w:tcW w:type="dxa" w:w="1440"/>
          </w:tcPr>
          <w:p>
            <w:r>
              <w:t>1台</w:t>
            </w:r>
          </w:p>
        </w:tc>
        <w:tc>
          <w:tcPr>
            <w:tcW w:type="dxa" w:w="1440"/>
          </w:tcPr>
          <w:p>
            <w:r>
              <w:t>800</w:t>
            </w:r>
          </w:p>
        </w:tc>
        <w:tc>
          <w:tcPr>
            <w:tcW w:type="dxa" w:w="1440"/>
          </w:tcPr>
          <w:p>
            <w:r>
              <w:t>800</w:t>
            </w:r>
          </w:p>
        </w:tc>
      </w:tr>
      <w:tr>
        <w:tc>
          <w:tcPr>
            <w:tcW w:type="dxa" w:w="1440"/>
          </w:tcPr>
          <w:p>
            <w:r>
              <w:t>4</w:t>
            </w:r>
          </w:p>
        </w:tc>
        <w:tc>
          <w:tcPr>
            <w:tcW w:type="dxa" w:w="1440"/>
          </w:tcPr>
          <w:p>
            <w:r>
              <w:t>数字化X射线摄影系统（DR）</w:t>
            </w:r>
          </w:p>
        </w:tc>
        <w:tc>
          <w:tcPr>
            <w:tcW w:type="dxa" w:w="1440"/>
          </w:tcPr>
          <w:p>
            <w:r>
              <w:t>uDR 780i</w:t>
            </w:r>
          </w:p>
        </w:tc>
        <w:tc>
          <w:tcPr>
            <w:tcW w:type="dxa" w:w="1440"/>
          </w:tcPr>
          <w:p>
            <w:r>
              <w:t>2台</w:t>
            </w:r>
          </w:p>
        </w:tc>
        <w:tc>
          <w:tcPr>
            <w:tcW w:type="dxa" w:w="1440"/>
          </w:tcPr>
          <w:p>
            <w:r>
              <w:t>100</w:t>
            </w:r>
          </w:p>
        </w:tc>
        <w:tc>
          <w:tcPr>
            <w:tcW w:type="dxa" w:w="1440"/>
          </w:tcPr>
          <w:p>
            <w:r>
              <w:t>200</w:t>
            </w:r>
          </w:p>
        </w:tc>
      </w:tr>
      <w:tr>
        <w:tc>
          <w:tcPr>
            <w:tcW w:type="dxa" w:w="1440"/>
          </w:tcPr>
          <w:p>
            <w:r>
              <w:t>**合计**</w:t>
            </w:r>
          </w:p>
        </w:tc>
        <w:tc>
          <w:tcPr>
            <w:tcW w:type="dxa" w:w="1440"/>
          </w:tcPr>
          <w:p>
            <w:r/>
          </w:p>
        </w:tc>
        <w:tc>
          <w:tcPr>
            <w:tcW w:type="dxa" w:w="1440"/>
          </w:tcPr>
          <w:p>
            <w:r/>
          </w:p>
        </w:tc>
        <w:tc>
          <w:tcPr>
            <w:tcW w:type="dxa" w:w="1440"/>
          </w:tcPr>
          <w:p>
            <w:r>
              <w:t>**6台**</w:t>
            </w:r>
          </w:p>
        </w:tc>
        <w:tc>
          <w:tcPr>
            <w:tcW w:type="dxa" w:w="1440"/>
          </w:tcPr>
          <w:p>
            <w:r/>
          </w:p>
        </w:tc>
        <w:tc>
          <w:tcPr>
            <w:tcW w:type="dxa" w:w="1440"/>
          </w:tcPr>
          <w:p>
            <w:r>
              <w:t>**3200**</w:t>
            </w:r>
          </w:p>
        </w:tc>
      </w:tr>
    </w:tbl>
    <w:p>
      <w:r>
        <w:t>1.2 以上价格包含设备本体、配套软件、标准附件、安装调试、培训服务等全部费用。</w:t>
      </w:r>
    </w:p>
    <w:p>
      <w:r>
        <w:t>1.3 设备的技术参数和配置要求详见附件一。</w:t>
      </w:r>
    </w:p>
    <w:p>
      <w:pPr>
        <w:pStyle w:val="Heading2"/>
      </w:pPr>
      <w:r>
        <w:t>第二条 交货时间与地点</w:t>
      </w:r>
    </w:p>
    <w:p>
      <w:r>
        <w:t>2.1 乙方应在合同生效后90日内将全部设备运至甲方指定地点。</w:t>
      </w:r>
    </w:p>
    <w:p>
      <w:r>
        <w:t>2.2 交货地点：武汉市武昌区解放大道1277号，华中科技大学同济医学院附属协和医院新院区。</w:t>
      </w:r>
    </w:p>
    <w:p>
      <w:r>
        <w:t>2.3 乙方负责设备的运输和保险，运输过程中的设备损毁风险由乙方承担。</w:t>
      </w:r>
    </w:p>
    <w:p>
      <w:r>
        <w:t>2.4 乙方应在发货前5日书面通知甲方，甲方应做好接收准备。</w:t>
      </w:r>
    </w:p>
    <w:p>
      <w:r>
        <w:t>2.5 如乙方逾期交货超过30日，甲方有权解除合同，乙方应退还甲方已支付的全部款项，并按照合同总价的百分之十向甲方支付违约金。</w:t>
      </w:r>
    </w:p>
    <w:p>
      <w:pPr>
        <w:pStyle w:val="Heading2"/>
      </w:pPr>
      <w:r>
        <w:t>第三条 安装调试</w:t>
      </w:r>
    </w:p>
    <w:p>
      <w:r>
        <w:t>3.1 乙方应在设备到达甲方指定地点后30日内完成全部设备的安装调试工作。</w:t>
      </w:r>
    </w:p>
    <w:p>
      <w:r>
        <w:t>3.2 乙方应派遣具备资质的专业技术人员进行安装调试，确保设备正常运行。安装调试人员应持有相关设备的操作资质证书。</w:t>
      </w:r>
    </w:p>
    <w:p>
      <w:r>
        <w:t>3.3 安装调试过程中，甲方应提供必要的场地、电力、水源等条件。甲方应提前完成机房改造和基础设施准备工作。</w:t>
      </w:r>
    </w:p>
    <w:p>
      <w:r>
        <w:t>3.4 设备正常运行的标准为：设备能够按照技术参数要求正常工作，各项性能指标达到合同约定的标准。</w:t>
      </w:r>
    </w:p>
    <w:p>
      <w:r>
        <w:t>3.5 安装调试过程中如发现设备存在制造缺陷或不符合技术参数要求的情况，乙方应负责免费更换或维修。</w:t>
      </w:r>
    </w:p>
    <w:p>
      <w:pPr>
        <w:pStyle w:val="Heading2"/>
      </w:pPr>
      <w:r>
        <w:t>第四条 验收标准与程序</w:t>
      </w:r>
    </w:p>
    <w:p>
      <w:r>
        <w:t>4.1 设备安装调试完成后，双方应在15日内组织验收。</w:t>
      </w:r>
    </w:p>
    <w:p>
      <w:r>
        <w:t>4.2 验收标准：</w:t>
      </w:r>
    </w:p>
    <w:p>
      <w:r>
        <w:t>（一）设备外观完好，无损伤、无缺陷；</w:t>
      </w:r>
    </w:p>
    <w:p>
      <w:r>
        <w:t>（二）设备能够正常开机运行；</w:t>
      </w:r>
    </w:p>
    <w:p>
      <w:r>
        <w:t>（三）设备各项性能指标达到合同约定的技术参数要求；</w:t>
      </w:r>
    </w:p>
    <w:p>
      <w:r>
        <w:t>（四）设备配套软件功能完整，运行稳定。</w:t>
      </w:r>
    </w:p>
    <w:p>
      <w:r>
        <w:t>4.3 验收程序：</w:t>
      </w:r>
    </w:p>
    <w:p>
      <w:r>
        <w:t>（一）乙方提交验收申请和验收资料；</w:t>
      </w:r>
    </w:p>
    <w:p>
      <w:r>
        <w:t>（二）甲方组织验收小组进行验收；</w:t>
      </w:r>
    </w:p>
    <w:p>
      <w:r>
        <w:t>（三）验收合格的，双方签署验收报告；</w:t>
      </w:r>
    </w:p>
    <w:p>
      <w:r>
        <w:t>（四）验收不合格的，乙方应在15日内整改并重新申请验收。</w:t>
      </w:r>
    </w:p>
    <w:p>
      <w:r>
        <w:t>4.4 如设备经三次验收仍不合格，甲方有权解除合同，乙方应退还甲方已支付的全部款项，并赔偿甲方的损失。</w:t>
      </w:r>
    </w:p>
    <w:p>
      <w:pPr>
        <w:pStyle w:val="Heading2"/>
      </w:pPr>
      <w:r>
        <w:t>第五条 培训服务</w:t>
      </w:r>
    </w:p>
    <w:p>
      <w:r>
        <w:t>5.1 乙方应为甲方提供操作培训服务。</w:t>
      </w:r>
    </w:p>
    <w:p>
      <w:r>
        <w:t>5.2 培训内容包括但不限于：</w:t>
      </w:r>
    </w:p>
    <w:p>
      <w:r>
        <w:t>（一）设备的基本操作和日常维护；</w:t>
      </w:r>
    </w:p>
    <w:p>
      <w:r>
        <w:t>（二）设备常见故障的排除方法；</w:t>
      </w:r>
    </w:p>
    <w:p>
      <w:r>
        <w:t>（三）设备配套软件的使用方法；</w:t>
      </w:r>
    </w:p>
    <w:p>
      <w:r>
        <w:t>（四）设备安全操作规程和应急处理措施。</w:t>
      </w:r>
    </w:p>
    <w:p>
      <w:r>
        <w:t>5.3 培训时间和地点由双方协商确定，培训地点优先安排在甲方院区内。</w:t>
      </w:r>
    </w:p>
    <w:p>
      <w:r>
        <w:t>5.4 每台设备的培训时间不少于3个工作日，培训对象包括设备操作人员和设备维护人员。</w:t>
      </w:r>
    </w:p>
    <w:p>
      <w:r>
        <w:t>5.5 培训结束后，乙方应提供培训资料和培训证明，甲方操作人员应通过乙方组织的考核后方可独立操作设备。</w:t>
      </w:r>
    </w:p>
    <w:p>
      <w:pPr>
        <w:pStyle w:val="Heading2"/>
      </w:pPr>
      <w:r>
        <w:t>第六条 付款条件</w:t>
      </w:r>
    </w:p>
    <w:p>
      <w:r>
        <w:t>6.1 甲方应按照以下方式向乙方支付货款：</w:t>
      </w:r>
    </w:p>
    <w:p>
      <w:r>
        <w:t>（一）合同生效后15日内，支付合同总价的30%，即人民币960万元；</w:t>
      </w:r>
    </w:p>
    <w:p>
      <w:r>
        <w:t>（二）设备发货前，支付合同总价的30%，即人民币960万元；</w:t>
      </w:r>
    </w:p>
    <w:p>
      <w:r>
        <w:t>（三）设备安装调试完成后，支付合同总价的30%，即人民币960万元；</w:t>
      </w:r>
    </w:p>
    <w:p>
      <w:r>
        <w:t>（四）设备验收合格后，支付剩余的10%，即人民币320万元。</w:t>
      </w:r>
    </w:p>
    <w:p>
      <w:r>
        <w:t>6.2 甲方应在收到乙方发票后30日内完成付款。</w:t>
      </w:r>
    </w:p>
    <w:p>
      <w:r>
        <w:t>6.3 甲方逾期付款的，每逾期一日，应按逾期金额的万分之五向乙方支付违约金。</w:t>
      </w:r>
    </w:p>
    <w:p>
      <w:r>
        <w:t>6.4 乙方应在每笔付款前向甲方提供全额增值税专用发票。</w:t>
      </w:r>
    </w:p>
    <w:p>
      <w:pPr>
        <w:pStyle w:val="Heading2"/>
      </w:pPr>
      <w:r>
        <w:t>第七条 售后服务</w:t>
      </w:r>
    </w:p>
    <w:p>
      <w:r>
        <w:t>7.1 乙方应提供设备的售后服务，售后服务期限为设备验收合格之日起3年。</w:t>
      </w:r>
    </w:p>
    <w:p>
      <w:r>
        <w:t>7.2 售后服务内容包括但不限于：</w:t>
      </w:r>
    </w:p>
    <w:p>
      <w:r>
        <w:t>（一）设备的日常维护和保养指导；</w:t>
      </w:r>
    </w:p>
    <w:p>
      <w:r>
        <w:t>（二）设备故障的维修和更换；</w:t>
      </w:r>
    </w:p>
    <w:p>
      <w:r>
        <w:t>（三）设备软件的升级和更新；</w:t>
      </w:r>
    </w:p>
    <w:p>
      <w:r>
        <w:t>（四）定期巡检和预防性维护。</w:t>
      </w:r>
    </w:p>
    <w:p>
      <w:r>
        <w:t>7.3 乙方应设立专门的售后服务热线，提供7×24小时电话技术支持。对于紧急故障，乙方应在接到报修通知后4小时内响应，24小时内派遣工程师到达现场。</w:t>
      </w:r>
    </w:p>
    <w:p>
      <w:r>
        <w:t>7.4 售后服务期内，乙方应提供免费的维修服务，但易损件和耗材除外。易损件和耗材的价格清单详见附件四。</w:t>
      </w:r>
    </w:p>
    <w:p>
      <w:r>
        <w:t>7.5 售后服务期满后，乙方应继续提供有偿的维修服务，维修服务费用标准应不高于市场合理水平。</w:t>
      </w:r>
    </w:p>
    <w:p>
      <w:pPr>
        <w:pStyle w:val="Heading2"/>
      </w:pPr>
      <w:r>
        <w:t>第八条 质量保证</w:t>
      </w:r>
    </w:p>
    <w:p>
      <w:r>
        <w:t>8.1 乙方保证所供设备为全新、未使用过的合格产品，符合国家相关标准和合同约定的技术要求。</w:t>
      </w:r>
    </w:p>
    <w:p>
      <w:r>
        <w:t>8.2 设备的质量保证期为设备验收合格之日起3年。</w:t>
      </w:r>
    </w:p>
    <w:p>
      <w:r>
        <w:t>8.3 质量保证期内，如设备出现质量问题，乙方应免费维修或更换。</w:t>
      </w:r>
    </w:p>
    <w:p>
      <w:r>
        <w:t>8.4 因设备质量问题导致甲方损失的，乙方应承担赔偿责任。</w:t>
      </w:r>
    </w:p>
    <w:p>
      <w:pPr>
        <w:pStyle w:val="Heading2"/>
      </w:pPr>
      <w:r>
        <w:t>第九条 违约责任</w:t>
      </w:r>
    </w:p>
    <w:p>
      <w:r>
        <w:t>9.1 乙方逾期交货的，每逾期一日，应按合同总价的万分之五向甲方支付违约金。</w:t>
      </w:r>
    </w:p>
    <w:p>
      <w:r>
        <w:t>9.2 乙方逾期完成安装调试的，每逾期一日，应按合同总价的万分之三向甲方支付违约金。</w:t>
      </w:r>
    </w:p>
    <w:p>
      <w:r>
        <w:t>9.3 甲方逾期付款的，每逾期一日，应按逾期金额的万分之五向乙方支付违约金。</w:t>
      </w:r>
    </w:p>
    <w:p>
      <w:r>
        <w:t>9.4 违约金不足以弥补守约方损失的，违约方还应赔偿守约方的实际损失。</w:t>
      </w:r>
    </w:p>
    <w:p>
      <w:pPr>
        <w:pStyle w:val="Heading2"/>
      </w:pPr>
      <w:r>
        <w:t>第十条 保密义务</w:t>
      </w:r>
    </w:p>
    <w:p>
      <w:r>
        <w:t>10.1 双方在合同履行过程中获知的对方商业秘密、技术秘密及其他保密信息，负有保密义务。</w:t>
      </w:r>
    </w:p>
    <w:p>
      <w:r>
        <w:t>10.2 保密信息包括但不限于：设备技术参数、采购价格、验收标准、系统配置、患者数据、医院运营数据等。</w:t>
      </w:r>
    </w:p>
    <w:p>
      <w:r>
        <w:t>10.3 未经对方书面同意，任何一方不得向第三方披露保密信息，但向监管机构报告或法律法规要求披露的除外。</w:t>
      </w:r>
    </w:p>
    <w:p>
      <w:r>
        <w:t>10.4 本条保密义务自本协议终止之日起三年内有效。</w:t>
      </w:r>
    </w:p>
    <w:p>
      <w:pPr>
        <w:pStyle w:val="Heading2"/>
      </w:pPr>
      <w:r>
        <w:t>第十一条 不可抗力</w:t>
      </w:r>
    </w:p>
    <w:p>
      <w:r>
        <w:t>11.1 不可抗力是指不能预见、不能避免且不能克服的客观事件，包括但不限于自然灾害（如地震、洪水、台风等）、政府行为（如征收、征用、禁令等）、社会异常事件（如战争、罢工、骚乱等）以及公共卫生事件（如疫情、传染病等）。</w:t>
      </w:r>
    </w:p>
    <w:p>
      <w:r>
        <w:t>11.2 因不可抗力导致任何一方无法履行本协议约定义务的，该方不承担违约责任，但应在不可抗力事件发生后5日内书面通知对方，并在15日内提供相关证明材料。</w:t>
      </w:r>
    </w:p>
    <w:p>
      <w:r>
        <w:t>11.3 不可抗力事件持续超过90日的，任何一方均有权书面通知对方解除本协议，双方互不承担违约责任。</w:t>
      </w:r>
    </w:p>
    <w:p>
      <w:r>
        <w:t>11.4 不可抗力事件消除后，受影响的一方应立即恢复履行本协议约定义务，并采取合理措施减少不可抗力造成的损失。</w:t>
      </w:r>
    </w:p>
    <w:p>
      <w:pPr>
        <w:pStyle w:val="Heading2"/>
      </w:pPr>
      <w:r>
        <w:t>第十二条 合同终止</w:t>
      </w:r>
    </w:p>
    <w:p>
      <w:r>
        <w:t>11.1 经双方协商一致，可以终止本协议。</w:t>
      </w:r>
    </w:p>
    <w:p>
      <w:r>
        <w:t>11.2 任何一方严重违约的，守约方有权解除本协议。</w:t>
      </w:r>
    </w:p>
    <w:p>
      <w:r>
        <w:t>11.3 协议终止后，双方应在30日内完成清算工作。</w:t>
      </w:r>
    </w:p>
    <w:p>
      <w:pPr>
        <w:pStyle w:val="Heading2"/>
      </w:pPr>
      <w:r>
        <w:t>第十三条 争议解决</w:t>
      </w:r>
    </w:p>
    <w:p>
      <w:r>
        <w:t>13.1 因本协议引起的或与本协议有关的任何争议，双方应首先通过友好协商解决。</w:t>
      </w:r>
    </w:p>
    <w:p>
      <w:r>
        <w:t>13.2 协商不成的，任何一方均可向乙方所在地有管辖权的人民法院提起诉讼。</w:t>
      </w:r>
    </w:p>
    <w:p>
      <w:pPr>
        <w:pStyle w:val="Heading2"/>
      </w:pPr>
      <w:r>
        <w:t>第十四条 适用法律</w:t>
      </w:r>
    </w:p>
    <w:p>
      <w:r>
        <w:t>14.1 本协议的订立、效力、解释、履行和争议解决均适用中华人民共和国法律。</w:t>
      </w:r>
    </w:p>
    <w:p>
      <w:pPr>
        <w:pStyle w:val="Heading2"/>
      </w:pPr>
      <w:r>
        <w:t>第十五条 完整协议与通知送达</w:t>
      </w:r>
    </w:p>
    <w:p>
      <w:r>
        <w:t>15.1 本协议（含附件）构成双方关于本协议标的的完整协议，取代双方此前就同一标的达成的所有口头或书面协议、承诺及谅解。</w:t>
      </w:r>
    </w:p>
    <w:p>
      <w:r>
        <w:t>15.2 本协议附件为本协议不可分割的组成部分，与本协议正文具有同等法律效力。</w:t>
      </w:r>
    </w:p>
    <w:p>
      <w:r>
        <w:t>15.3 本协议自双方授权代表签字并加盖公章之日起生效。</w:t>
      </w:r>
    </w:p>
    <w:p>
      <w:r>
        <w:t>15.4 本协议一式四份，甲乙双方各执两份，具有同等法律效力。</w:t>
      </w:r>
    </w:p>
    <w:p>
      <w:r>
        <w:t>15.5 本协议未尽事宜，由双方另行签订补充协议，补充协议与本协议具有同等法律效力。</w:t>
      </w:r>
    </w:p>
    <w:p>
      <w:r>
        <w:t>15.6 本协议项下的所有通知、函件及其他文件，应以书面形式发出，通过专人递送、邮政快递或电子邮件方式送达。涉及设备交付、验收等重要事项的通知应同时以邮政快递方式送达。任何一方变更通知地址或联系方式的，应在变更后5日内书面通知对方。</w:t>
      </w:r>
    </w:p>
    <w:p>
      <w:r>
        <w:t>15.7 本协议任何条款被认定为无效或不可执行的，不影响其他条款的效力。</w:t>
      </w:r>
    </w:p>
    <w:p>
      <w:r>
        <w:t>──────────────────────────────────────────────────</w:t>
      </w:r>
    </w:p>
    <w:p>
      <w:r>
        <w:t>附件清单：</w:t>
      </w:r>
    </w:p>
    <w:p>
      <w:pPr>
        <w:pStyle w:val="ListBullet"/>
      </w:pPr>
      <w:r>
        <w:t>附件一：设备技术参数和配置要求（包含各设备的详细技术规格、性能指标、配套设施要求等）</w:t>
      </w:r>
    </w:p>
    <w:p>
      <w:pPr>
        <w:pStyle w:val="ListBullet"/>
      </w:pPr>
      <w:r>
        <w:t>附件二：设备验收标准（包含验收流程、测试项目、合格判定标准等）</w:t>
      </w:r>
    </w:p>
    <w:p>
      <w:pPr>
        <w:pStyle w:val="ListBullet"/>
      </w:pPr>
      <w:r>
        <w:t>附件三：培训计划（包含培训课程安排、培训师资、考核标准等）</w:t>
      </w:r>
    </w:p>
    <w:p>
      <w:pPr>
        <w:pStyle w:val="ListBullet"/>
      </w:pPr>
      <w:r>
        <w:t>附件四：售后服务承诺书（包含服务响应时间、备件供应保障、定期巡检计划等）</w:t>
      </w:r>
    </w:p>
    <w:p>
      <w:r>
        <w:t>──────────────────────────────────────────────────</w:t>
      </w:r>
    </w:p>
    <w:p>
      <w:r>
        <w:t>甲方（盖章）： 华中科技大学同济医学院附属协和医院</w:t>
      </w:r>
    </w:p>
    <w:p>
      <w:r>
        <w:t>授权代表（签字）：____________________</w:t>
      </w:r>
    </w:p>
    <w:p>
      <w:r>
        <w:t>日期：2026年6月18日</w:t>
      </w:r>
    </w:p>
    <w:p>
      <w:r>
        <w:t>──────────────────────────────────────────────────</w:t>
      </w:r>
    </w:p>
    <w:p>
      <w:r>
        <w:t>乙方（盖章）： 联影医疗科技股份有限公司</w:t>
      </w:r>
    </w:p>
    <w:p>
      <w:r>
        <w:t>授权代表（签字）：____________________</w:t>
      </w:r>
    </w:p>
    <w:p>
      <w:r>
        <w:t>日期：2026年6月18日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