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Manutenção Preditiva Industrial</w:t>
      </w:r>
    </w:p>
    <w:p>
      <w:pPr>
        <w:jc w:val="center"/>
      </w:pPr>
      <w:r>
        <w:t>Análise exploratória do AI4I 2020 Predictive Maintenance Dataset</w:t>
      </w:r>
    </w:p>
    <w:p>
      <w:pPr>
        <w:pStyle w:val="Heading1"/>
      </w:pPr>
      <w:r>
        <w:t>1. Resumo executivo</w:t>
      </w:r>
    </w:p>
    <w:p>
      <w:r>
        <w:t>Foram analisados 10.000 registros e identificadas 339 falhas, correspondentes a 3,39% da base. Torque e desgaste da ferramenta foram os sinais mais relevantes. A partir de 200 minutos de desgaste, a taxa de falha chegou a 15,36%, indicando uma oportunidade de inspeção preventiva.</w:t>
      </w:r>
    </w:p>
    <w:p>
      <w:pPr>
        <w:pStyle w:val="Heading1"/>
      </w:pPr>
      <w:r>
        <w:t>2. Base e metodologia</w:t>
      </w:r>
    </w:p>
    <w:p>
      <w:r>
        <w:t>A base contém temperaturas, velocidade, torque, desgaste da ferramenta e indicadores dos tipos de falha. Foram calculadas estatísticas descritivas, taxas por grupo e correlações. Os resultados representam associações observadas e não provam causalidade.</w:t>
      </w:r>
    </w:p>
    <w:p>
      <w:pPr>
        <w:pStyle w:val="Heading1"/>
      </w:pPr>
      <w:r>
        <w:t>3. Principais resultados</w:t>
      </w:r>
    </w:p>
    <w:p>
      <w:r>
        <w:t>A taxa geral observada foi de 3,39%.</w:t>
      </w:r>
    </w:p>
    <w:p>
      <w:r>
        <w:drawing>
          <wp:inline xmlns:a="http://schemas.openxmlformats.org/drawingml/2006/main" xmlns:pic="http://schemas.openxmlformats.org/drawingml/2006/picture">
            <wp:extent cx="585216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tribuicao_falh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HDF, OSF e PWF concentraram a maior parte das ocorrências.</w:t>
      </w:r>
    </w:p>
    <w:p>
      <w:r>
        <w:drawing>
          <wp:inline xmlns:a="http://schemas.openxmlformats.org/drawingml/2006/main" xmlns:pic="http://schemas.openxmlformats.org/drawingml/2006/picture">
            <wp:extent cx="585216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ipos_de_falh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 falhas apresentaram torque médio maior e velocidade média menor.</w:t>
      </w:r>
    </w:p>
    <w:p>
      <w:r>
        <w:drawing>
          <wp:inline xmlns:a="http://schemas.openxmlformats.org/drawingml/2006/main" xmlns:pic="http://schemas.openxmlformats.org/drawingml/2006/picture">
            <wp:extent cx="585216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orque_velocid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faixa de desgaste de 200 minutos ou mais apresentou taxa de falha de 15,36%.</w:t>
      </w:r>
    </w:p>
    <w:p>
      <w:r>
        <w:drawing>
          <wp:inline xmlns:a="http://schemas.openxmlformats.org/drawingml/2006/main" xmlns:pic="http://schemas.openxmlformats.org/drawingml/2006/picture">
            <wp:extent cx="5852160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axa_por_desgas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Torque apresentou a maior correlação linear com a falha geral.</w:t>
      </w:r>
    </w:p>
    <w:p>
      <w:r>
        <w:drawing>
          <wp:inline xmlns:a="http://schemas.openxmlformats.org/drawingml/2006/main" xmlns:pic="http://schemas.openxmlformats.org/drawingml/2006/picture">
            <wp:extent cx="5852160" cy="292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rrelaco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Recomendações</w:t>
      </w:r>
    </w:p>
    <w:p>
      <w:r>
        <w:t>1. Inspecionar ou trocar preventivamente ferramentas a partir de 200 minutos de desgaste.</w:t>
        <w:br/>
        <w:t>2. Monitorar torque e velocidade em conjunto.</w:t>
        <w:br/>
        <w:t>3. Acompanhar o delta térmico e as temperaturas absolutas para identificar condições compatíveis com HDF.</w:t>
        <w:br/>
        <w:t>4. Registrar duração, causa e custo das paradas.</w:t>
        <w:br/>
        <w:t>5. Validar os limites em dados reais antes de transformá-los em regras definitivas.</w:t>
      </w:r>
    </w:p>
    <w:p>
      <w:pPr>
        <w:pStyle w:val="Heading1"/>
      </w:pPr>
      <w:r>
        <w:t>5. Conclusão</w:t>
      </w:r>
    </w:p>
    <w:p>
      <w:r>
        <w:t>A estratégia mais promissora é combinar torque, desgaste da ferramenta e condição térmica em alertas de manutenção. A inclusão de histórico real de máquinas, paradas e custos permitirá validar os limites e construir um modelo preditivo mais robusto.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