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PHR DC Conversion Analysis</w:t>
      </w:r>
    </w:p>
    <w:p>
      <w:pPr>
        <w:spacing w:after="300"/>
      </w:pPr>
      <w:r>
        <w:rPr>
          <w:color w:val="555555"/>
          <w:sz w:val="26"/>
          <w:szCs w:val="26"/>
        </w:rPr>
        <w:t xml:space="preserve">How the automated call-grading and reporting system works</w:t>
      </w:r>
    </w:p>
    <w:p>
      <w:pPr>
        <w:pStyle w:val="Heading1"/>
        <w:spacing w:after="150" w:before="300"/>
      </w:pPr>
      <w:r>
        <w:t xml:space="preserve">What This Is For</w:t>
      </w:r>
    </w:p>
    <w:p>
      <w:pPr>
        <w:spacing w:after="160"/>
      </w:pPr>
      <w:r>
        <w:t xml:space="preserve">Every phone consultation Justin runs gets automatically reviewed and sorted into a category — booked, still deciding, not a fit, and so on — without anyone manually reading through calls or updating a spreadsheet by hand. Once enough calls have had time to settle, the system also calculates three key rates (show rate, qualification rate, and booking rate) and breaks them down by lead source, so we can see which channels are actually producing booked evaluations.</w:t>
      </w:r>
    </w:p>
    <w:p>
      <w:pPr>
        <w:spacing w:after="160"/>
      </w:pPr>
      <w:r>
        <w:t xml:space="preserve">It runs on its own every day. Nobody needs to trigger it.</w:t>
      </w:r>
    </w:p>
    <w:p>
      <w:pPr>
        <w:pStyle w:val="Heading1"/>
        <w:spacing w:after="150" w:before="300"/>
      </w:pPr>
      <w:r>
        <w:t xml:space="preserve">The Big Picture: Three Steps</w:t>
      </w:r>
    </w:p>
    <w:p>
      <w:pPr>
        <w:pStyle w:val="ListParagraph"/>
        <w:numPr>
          <w:ilvl w:val="0"/>
          <w:numId w:val="2"/>
        </w:numPr>
        <w:spacing w:after="80"/>
      </w:pPr>
      <w:r>
        <w:t xml:space="preserve">Step 1 — Grade the calls. Every morning, the system checks GoHighLevel (GHL) to see what really happened on each recent call, and sorts it into one of six outcomes.</w:t>
      </w:r>
    </w:p>
    <w:p>
      <w:pPr>
        <w:pStyle w:val="ListParagraph"/>
        <w:numPr>
          <w:ilvl w:val="0"/>
          <w:numId w:val="2"/>
        </w:numPr>
        <w:spacing w:after="80"/>
      </w:pPr>
      <w:r>
        <w:t xml:space="preserve">Step 2 — Roll up the rates. Once a full month of calls has had time to settle, the system calculates the three rates and updates a report.</w:t>
      </w:r>
    </w:p>
    <w:p>
      <w:pPr>
        <w:pStyle w:val="ListParagraph"/>
        <w:numPr>
          <w:ilvl w:val="0"/>
          <w:numId w:val="2"/>
        </w:numPr>
        <w:spacing w:after="80"/>
      </w:pPr>
      <w:r>
        <w:t xml:space="preserve">Step 3 — Check the results. Everything lands in a “Conversion Rollup” tab in the spreadsheet, refreshed daily, so you can check it anytime without waiting on anyone.</w:t>
      </w:r>
    </w:p>
    <w:p>
      <w:pPr>
        <w:pBdr>
          <w:bottom w:val="single" w:color="CCCCCC" w:sz="6" w:space="1"/>
        </w:pBdr>
        <w:spacing w:after="200" w:before="200"/>
      </w:pPr>
    </w:p>
    <w:p>
      <w:pPr>
        <w:pStyle w:val="Heading1"/>
        <w:spacing w:after="150" w:before="300"/>
      </w:pPr>
      <w:r>
        <w:t xml:space="preserve">Step 1: Grading Every Call (“Pipeline B”)</w:t>
      </w:r>
    </w:p>
    <w:p>
      <w:pPr>
        <w:spacing w:after="160"/>
      </w:pPr>
      <w:r>
        <w:t xml:space="preserve">Runs automatically every day at 8:00 AM.</w:t>
      </w:r>
    </w:p>
    <w:p>
      <w:pPr>
        <w:pStyle w:val="Heading2"/>
        <w:spacing w:after="120" w:before="240"/>
      </w:pPr>
      <w:r>
        <w:t xml:space="preserve">Why it waits 3 days</w:t>
      </w:r>
    </w:p>
    <w:p>
      <w:pPr>
        <w:spacing w:after="160"/>
      </w:pPr>
      <w:r>
        <w:t xml:space="preserve">The system only grades calls that are at least 72 hours old. That gives Justin and the team time to actually update the deal stage in GHL after the call happens. Grading a call too early would just catch the stage before anyone had a chance to update it.</w:t>
      </w:r>
    </w:p>
    <w:p>
      <w:pPr>
        <w:pStyle w:val="Heading2"/>
        <w:spacing w:after="120" w:before="240"/>
      </w:pPr>
      <w:r>
        <w:t xml:space="preserve">What it does for each call</w:t>
      </w:r>
    </w:p>
    <w:p>
      <w:pPr>
        <w:pStyle w:val="ListParagraph"/>
        <w:numPr>
          <w:ilvl w:val="0"/>
          <w:numId w:val="2"/>
        </w:numPr>
        <w:spacing w:after="80"/>
      </w:pPr>
      <w:r>
        <w:t xml:space="preserve">Looks up the deal in GHL and reads its current stage (not whatever was set at the moment of the call).</w:t>
      </w:r>
    </w:p>
    <w:p>
      <w:pPr>
        <w:pStyle w:val="ListParagraph"/>
        <w:numPr>
          <w:ilvl w:val="0"/>
          <w:numId w:val="2"/>
        </w:numPr>
        <w:spacing w:after="80"/>
      </w:pPr>
      <w:r>
        <w:t xml:space="preserve">Translates GHL's internal stage name into a plain-English outcome.</w:t>
      </w:r>
    </w:p>
    <w:p>
      <w:pPr>
        <w:pStyle w:val="ListParagraph"/>
        <w:numPr>
          <w:ilvl w:val="0"/>
          <w:numId w:val="2"/>
        </w:numPr>
        <w:spacing w:after="80"/>
      </w:pPr>
      <w:r>
        <w:t xml:space="preserve">Sorts that outcome into one of six broad buckets (see table below).</w:t>
      </w:r>
    </w:p>
    <w:p>
      <w:pPr>
        <w:pStyle w:val="ListParagraph"/>
        <w:numPr>
          <w:ilvl w:val="0"/>
          <w:numId w:val="2"/>
        </w:numPr>
        <w:spacing w:after="80"/>
      </w:pPr>
      <w:r>
        <w:t xml:space="preserve">For calls that are a real, qualified conversation, it also reads the call transcript and checks off the exact 22-item script the AI assistant is trained to score (see “The Coaching Markers” below). This doesn't affect the rates; it's there to help spot coaching opportunities.</w:t>
      </w:r>
    </w:p>
    <w:p>
      <w:pPr>
        <w:pStyle w:val="ListParagraph"/>
        <w:numPr>
          <w:ilvl w:val="0"/>
          <w:numId w:val="2"/>
        </w:numPr>
        <w:spacing w:after="80"/>
      </w:pPr>
      <w:r>
        <w:t xml:space="preserve">Looks up the contact in GHL and records their “Lead Source Category” — this is how we know whether a lead came from Google, Facebook, a referral, and so on.</w:t>
      </w:r>
    </w:p>
    <w:p>
      <w:pPr>
        <w:pStyle w:val="Heading2"/>
        <w:spacing w:after="120" w:before="240"/>
      </w:pPr>
      <w:r>
        <w:t xml:space="preserve">The Six Outcome Buckets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4E5F" w:color="auto" w:val="clear"/>
            <w:tcMar>
              <w:top w:type="dxa" w:w="100"/>
              <w:left w:type="dxa" w:w="120"/>
              <w:bottom w:type="dxa" w:w="100"/>
              <w:right w:type="dxa" w:w="120"/>
            </w:tcMar>
          </w:tcPr>
          <w:p>
            <w:r>
              <w:rPr>
                <w:b/>
                <w:bCs/>
                <w:color w:val="FFFFFF"/>
                <w:sz w:val="20"/>
                <w:szCs w:val="20"/>
              </w:rPr>
              <w:t xml:space="preserve">Bucket</w:t>
            </w:r>
          </w:p>
        </w:tc>
        <w:tc>
          <w:tcPr>
            <w:tcW w:type="dxa" w:w="6000"/>
            <w:shd w:fill="1F4E5F" w:color="auto" w:val="clear"/>
            <w:tcMar>
              <w:top w:type="dxa" w:w="100"/>
              <w:left w:type="dxa" w:w="120"/>
              <w:bottom w:type="dxa" w:w="100"/>
              <w:right w:type="dxa" w:w="120"/>
            </w:tcMar>
          </w:tcPr>
          <w:p>
            <w:r>
              <w:rPr>
                <w:b/>
                <w:bCs/>
                <w:color w:val="FFFFFF"/>
                <w:sz w:val="20"/>
                <w:szCs w:val="20"/>
              </w:rPr>
              <w:t xml:space="preserve">What it means</w:t>
            </w:r>
          </w:p>
        </w:tc>
      </w:tr>
      <w:tr>
        <w:tc>
          <w:tcPr>
            <w:tcW w:type="dxa" w:w="3400"/>
            <w:tcMar>
              <w:top w:type="dxa" w:w="100"/>
              <w:left w:type="dxa" w:w="120"/>
              <w:bottom w:type="dxa" w:w="100"/>
              <w:right w:type="dxa" w:w="120"/>
            </w:tcMar>
          </w:tcPr>
          <w:p>
            <w:r>
              <w:rPr>
                <w:b w:val="false"/>
                <w:bCs w:val="false"/>
                <w:color w:val="000000"/>
                <w:sz w:val="20"/>
                <w:szCs w:val="20"/>
              </w:rPr>
              <w:t xml:space="preserve">BOOKED</w:t>
            </w:r>
          </w:p>
        </w:tc>
        <w:tc>
          <w:tcPr>
            <w:tcW w:type="dxa" w:w="6000"/>
            <w:tcMar>
              <w:top w:type="dxa" w:w="100"/>
              <w:left w:type="dxa" w:w="120"/>
              <w:bottom w:type="dxa" w:w="100"/>
              <w:right w:type="dxa" w:w="120"/>
            </w:tcMar>
          </w:tcPr>
          <w:p>
            <w:r>
              <w:rPr>
                <w:b w:val="false"/>
                <w:bCs w:val="false"/>
                <w:color w:val="000000"/>
                <w:sz w:val="20"/>
                <w:szCs w:val="20"/>
              </w:rPr>
              <w:t xml:space="preserve">An in-home evaluation got scheduled. This is the goal outcome.</w:t>
            </w:r>
          </w:p>
        </w:tc>
      </w:tr>
      <w:tr>
        <w:tc>
          <w:tcPr>
            <w:tcW w:type="dxa" w:w="3400"/>
            <w:tcMar>
              <w:top w:type="dxa" w:w="100"/>
              <w:left w:type="dxa" w:w="120"/>
              <w:bottom w:type="dxa" w:w="100"/>
              <w:right w:type="dxa" w:w="120"/>
            </w:tcMar>
          </w:tcPr>
          <w:p>
            <w:r>
              <w:rPr>
                <w:b w:val="false"/>
                <w:bCs w:val="false"/>
                <w:color w:val="000000"/>
                <w:sz w:val="20"/>
                <w:szCs w:val="20"/>
              </w:rPr>
              <w:t xml:space="preserve">QUALIFIED_NOT_BOOKED</w:t>
            </w:r>
          </w:p>
        </w:tc>
        <w:tc>
          <w:tcPr>
            <w:tcW w:type="dxa" w:w="6000"/>
            <w:tcMar>
              <w:top w:type="dxa" w:w="100"/>
              <w:left w:type="dxa" w:w="120"/>
              <w:bottom w:type="dxa" w:w="100"/>
              <w:right w:type="dxa" w:w="120"/>
            </w:tcMar>
          </w:tcPr>
          <w:p>
            <w:r>
              <w:rPr>
                <w:b w:val="false"/>
                <w:bCs w:val="false"/>
                <w:color w:val="000000"/>
                <w:sz w:val="20"/>
                <w:szCs w:val="20"/>
              </w:rPr>
              <w:t xml:space="preserve">A good, real lead — but hasn't booked an in-home eval yet (e.g. still deciding, waiting on photos, sent to Jeremy, nurturing).</w:t>
            </w:r>
          </w:p>
        </w:tc>
      </w:tr>
      <w:tr>
        <w:tc>
          <w:tcPr>
            <w:tcW w:type="dxa" w:w="3400"/>
            <w:tcMar>
              <w:top w:type="dxa" w:w="100"/>
              <w:left w:type="dxa" w:w="120"/>
              <w:bottom w:type="dxa" w:w="100"/>
              <w:right w:type="dxa" w:w="120"/>
            </w:tcMar>
          </w:tcPr>
          <w:p>
            <w:r>
              <w:rPr>
                <w:b w:val="false"/>
                <w:bCs w:val="false"/>
                <w:color w:val="000000"/>
                <w:sz w:val="20"/>
                <w:szCs w:val="20"/>
              </w:rPr>
              <w:t xml:space="preserve">DISQUALIFIED</w:t>
            </w:r>
          </w:p>
        </w:tc>
        <w:tc>
          <w:tcPr>
            <w:tcW w:type="dxa" w:w="6000"/>
            <w:tcMar>
              <w:top w:type="dxa" w:w="100"/>
              <w:left w:type="dxa" w:w="120"/>
              <w:bottom w:type="dxa" w:w="100"/>
              <w:right w:type="dxa" w:w="120"/>
            </w:tcMar>
          </w:tcPr>
          <w:p>
            <w:r>
              <w:rPr>
                <w:b w:val="false"/>
                <w:bCs w:val="false"/>
                <w:color w:val="000000"/>
                <w:sz w:val="20"/>
                <w:szCs w:val="20"/>
              </w:rPr>
              <w:t xml:space="preserve">Not a fit for us (too small a project, outside our service area, outside our scope, referred elsewhere).</w:t>
            </w:r>
          </w:p>
        </w:tc>
      </w:tr>
      <w:tr>
        <w:tc>
          <w:tcPr>
            <w:tcW w:type="dxa" w:w="3400"/>
            <w:tcMar>
              <w:top w:type="dxa" w:w="100"/>
              <w:left w:type="dxa" w:w="120"/>
              <w:bottom w:type="dxa" w:w="100"/>
              <w:right w:type="dxa" w:w="120"/>
            </w:tcMar>
          </w:tcPr>
          <w:p>
            <w:r>
              <w:rPr>
                <w:b w:val="false"/>
                <w:bCs w:val="false"/>
                <w:color w:val="000000"/>
                <w:sz w:val="20"/>
                <w:szCs w:val="20"/>
              </w:rPr>
              <w:t xml:space="preserve">NO_CONSULT</w:t>
            </w:r>
          </w:p>
        </w:tc>
        <w:tc>
          <w:tcPr>
            <w:tcW w:type="dxa" w:w="6000"/>
            <w:tcMar>
              <w:top w:type="dxa" w:w="100"/>
              <w:left w:type="dxa" w:w="120"/>
              <w:bottom w:type="dxa" w:w="100"/>
              <w:right w:type="dxa" w:w="120"/>
            </w:tcMar>
          </w:tcPr>
          <w:p>
            <w:r>
              <w:rPr>
                <w:b w:val="false"/>
                <w:bCs w:val="false"/>
                <w:color w:val="000000"/>
                <w:sz w:val="20"/>
                <w:szCs w:val="20"/>
              </w:rPr>
              <w:t xml:space="preserve">No real conversation happened — a no-show, or the prospect asked to be contacted again later.</w:t>
            </w:r>
          </w:p>
        </w:tc>
      </w:tr>
      <w:tr>
        <w:tc>
          <w:tcPr>
            <w:tcW w:type="dxa" w:w="3400"/>
            <w:tcMar>
              <w:top w:type="dxa" w:w="100"/>
              <w:left w:type="dxa" w:w="120"/>
              <w:bottom w:type="dxa" w:w="100"/>
              <w:right w:type="dxa" w:w="120"/>
            </w:tcMar>
          </w:tcPr>
          <w:p>
            <w:r>
              <w:rPr>
                <w:b w:val="false"/>
                <w:bCs w:val="false"/>
                <w:color w:val="000000"/>
                <w:sz w:val="20"/>
                <w:szCs w:val="20"/>
              </w:rPr>
              <w:t xml:space="preserve">STAGE_NOT_UPDATED</w:t>
            </w:r>
          </w:p>
        </w:tc>
        <w:tc>
          <w:tcPr>
            <w:tcW w:type="dxa" w:w="6000"/>
            <w:tcMar>
              <w:top w:type="dxa" w:w="100"/>
              <w:left w:type="dxa" w:w="120"/>
              <w:bottom w:type="dxa" w:w="100"/>
              <w:right w:type="dxa" w:w="120"/>
            </w:tcMar>
          </w:tcPr>
          <w:p>
            <w:r>
              <w:rPr>
                <w:b w:val="false"/>
                <w:bCs w:val="false"/>
                <w:color w:val="000000"/>
                <w:sz w:val="20"/>
                <w:szCs w:val="20"/>
              </w:rPr>
              <w:t xml:space="preserve">The call happened, but nobody has updated the deal stage in GHL yet. Comes back around and gets re-checked later.</w:t>
            </w:r>
          </w:p>
        </w:tc>
      </w:tr>
      <w:tr>
        <w:tc>
          <w:tcPr>
            <w:tcW w:type="dxa" w:w="3400"/>
            <w:tcMar>
              <w:top w:type="dxa" w:w="100"/>
              <w:left w:type="dxa" w:w="120"/>
              <w:bottom w:type="dxa" w:w="100"/>
              <w:right w:type="dxa" w:w="120"/>
            </w:tcMar>
          </w:tcPr>
          <w:p>
            <w:r>
              <w:rPr>
                <w:b w:val="false"/>
                <w:bCs w:val="false"/>
                <w:color w:val="000000"/>
                <w:sz w:val="20"/>
                <w:szCs w:val="20"/>
              </w:rPr>
              <w:t xml:space="preserve">UNCLASSIFIED</w:t>
            </w:r>
          </w:p>
        </w:tc>
        <w:tc>
          <w:tcPr>
            <w:tcW w:type="dxa" w:w="6000"/>
            <w:tcMar>
              <w:top w:type="dxa" w:w="100"/>
              <w:left w:type="dxa" w:w="120"/>
              <w:bottom w:type="dxa" w:w="100"/>
              <w:right w:type="dxa" w:w="120"/>
            </w:tcMar>
          </w:tcPr>
          <w:p>
            <w:r>
              <w:rPr>
                <w:b w:val="false"/>
                <w:bCs w:val="false"/>
                <w:color w:val="000000"/>
                <w:sz w:val="20"/>
                <w:szCs w:val="20"/>
              </w:rPr>
              <w:t xml:space="preserve">GHL shows a stage the system doesn't recognize yet. This is intentional — rather than guess, it flags these so we can review and add a rule if needed, instead of quietly miscounting them.</w:t>
            </w:r>
          </w:p>
        </w:tc>
      </w:tr>
    </w:tbl>
    <w:p>
      <w:pPr>
        <w:spacing w:after="200"/>
      </w:pPr>
    </w:p>
    <w:p>
      <w:pPr>
        <w:pStyle w:val="Heading2"/>
        <w:spacing w:after="120" w:before="240"/>
      </w:pPr>
      <w:r>
        <w:t xml:space="preserve">The Coaching Markers</w:t>
      </w:r>
    </w:p>
    <w:p>
      <w:pPr>
        <w:spacing w:after="160"/>
      </w:pPr>
      <w:r>
        <w:t xml:space="preserve">For every call that's a real, qualified conversation — BOOKED or QUALIFIED_NOT_BOOKED, and long enough to actually be a consultation, not just a quick chat — the system reads the transcript and checks off the exact 22 items below. This is the same checklist, in the same order, that the AI assistant actually scores on each call — it follows Justin's script from open to close. Each item is scored yes/no only on whether it's observable in the transcript; it's not a quality rating. None of this changes the outcome bucket or feeds into the rates — it's there purely so coaching patterns are easy to spot over time instead of someone re-listening to calls to find them.</w:t>
      </w:r>
    </w:p>
    <w:p>
      <w:pPr>
        <w:pStyle w:val="ListParagraph"/>
        <w:numPr>
          <w:ilvl w:val="0"/>
          <w:numId w:val="3"/>
        </w:numPr>
        <w:spacing w:after="80"/>
      </w:pPr>
      <w:r>
        <w:t xml:space="preserve">Used the correct opening — introduced himself and Phoenix Home Remodeling right at the start of the call.</w:t>
      </w:r>
    </w:p>
    <w:p>
      <w:pPr>
        <w:pStyle w:val="ListParagraph"/>
        <w:numPr>
          <w:ilvl w:val="0"/>
          <w:numId w:val="3"/>
        </w:numPr>
        <w:spacing w:after="80"/>
      </w:pPr>
      <w:r>
        <w:t xml:space="preserve">Explained the design-build model — described PHR's design-build approach or the Feasibility, Planning &amp; Design phase.</w:t>
      </w:r>
    </w:p>
    <w:p>
      <w:pPr>
        <w:pStyle w:val="ListParagraph"/>
        <w:numPr>
          <w:ilvl w:val="0"/>
          <w:numId w:val="3"/>
        </w:numPr>
        <w:spacing w:after="80"/>
      </w:pPr>
      <w:r>
        <w:t xml:space="preserve">Asked how they heard about us — asked who referred them or how they found PHR.</w:t>
      </w:r>
    </w:p>
    <w:p>
      <w:pPr>
        <w:pStyle w:val="ListParagraph"/>
        <w:numPr>
          <w:ilvl w:val="0"/>
          <w:numId w:val="3"/>
        </w:numPr>
        <w:spacing w:after="80"/>
      </w:pPr>
      <w:r>
        <w:t xml:space="preserve">Asked discovery questions — asked what isn't working in the home and confirmed nothing else was missed.</w:t>
      </w:r>
    </w:p>
    <w:p>
      <w:pPr>
        <w:pStyle w:val="ListParagraph"/>
        <w:numPr>
          <w:ilvl w:val="0"/>
          <w:numId w:val="3"/>
        </w:numPr>
        <w:spacing w:after="80"/>
      </w:pPr>
      <w:r>
        <w:t xml:space="preserve">Gave a price range — stated a ballpark price or range on the call.</w:t>
      </w:r>
    </w:p>
    <w:p>
      <w:pPr>
        <w:pStyle w:val="ListParagraph"/>
        <w:numPr>
          <w:ilvl w:val="0"/>
          <w:numId w:val="3"/>
        </w:numPr>
        <w:spacing w:after="80"/>
      </w:pPr>
      <w:r>
        <w:t xml:space="preserve">Asked for their reaction to price, as an actual question — asked directly how the range feels to them, then stopped talking to let them answer. Just mentioning it in passing ("if this works for your budget...") doesn't count — it has to be a real question.</w:t>
      </w:r>
    </w:p>
    <w:p>
      <w:pPr>
        <w:pStyle w:val="ListParagraph"/>
        <w:numPr>
          <w:ilvl w:val="0"/>
          <w:numId w:val="3"/>
        </w:numPr>
        <w:spacing w:after="80"/>
      </w:pPr>
      <w:r>
        <w:t xml:space="preserve">Paused after asking — the homeowner was the next one to speak, meaning Justin didn't talk over their answer. (Only scored if the item above is a “Yes.”)</w:t>
      </w:r>
    </w:p>
    <w:p>
      <w:pPr>
        <w:pStyle w:val="ListParagraph"/>
        <w:numPr>
          <w:ilvl w:val="0"/>
          <w:numId w:val="3"/>
        </w:numPr>
        <w:spacing w:after="80"/>
      </w:pPr>
      <w:r>
        <w:t xml:space="preserve">An objection came up — the homeowner pushed back on price at some point.</w:t>
      </w:r>
    </w:p>
    <w:p>
      <w:pPr>
        <w:pStyle w:val="ListParagraph"/>
        <w:numPr>
          <w:ilvl w:val="0"/>
          <w:numId w:val="3"/>
        </w:numPr>
        <w:spacing w:after="80"/>
      </w:pPr>
      <w:r>
        <w:t xml:space="preserve">The objection was handled — Justin responded substantively to that pushback. (Only scored if an objection came up.)</w:t>
      </w:r>
    </w:p>
    <w:p>
      <w:pPr>
        <w:pStyle w:val="ListParagraph"/>
        <w:numPr>
          <w:ilvl w:val="0"/>
          <w:numId w:val="3"/>
        </w:numPr>
        <w:spacing w:after="80"/>
      </w:pPr>
      <w:r>
        <w:t xml:space="preserve">Offered the case study program — mentioned the “save 5% up to $3,000” case study offer.</w:t>
      </w:r>
    </w:p>
    <w:p>
      <w:pPr>
        <w:pStyle w:val="ListParagraph"/>
        <w:numPr>
          <w:ilvl w:val="0"/>
          <w:numId w:val="3"/>
        </w:numPr>
        <w:spacing w:after="80"/>
      </w:pPr>
      <w:r>
        <w:t xml:space="preserve">Made a further attempt — after the case study offer, tried again to overcome the objection.</w:t>
      </w:r>
    </w:p>
    <w:p>
      <w:pPr>
        <w:pStyle w:val="ListParagraph"/>
        <w:numPr>
          <w:ilvl w:val="0"/>
          <w:numId w:val="3"/>
        </w:numPr>
        <w:spacing w:after="80"/>
      </w:pPr>
      <w:r>
        <w:t xml:space="preserve">Asked about prior remodeling experience — asked if they'd done a full remodel before.</w:t>
      </w:r>
    </w:p>
    <w:p>
      <w:pPr>
        <w:pStyle w:val="ListParagraph"/>
        <w:numPr>
          <w:ilvl w:val="0"/>
          <w:numId w:val="3"/>
        </w:numPr>
        <w:spacing w:after="80"/>
      </w:pPr>
      <w:r>
        <w:t xml:space="preserve">Stated three benefits — gave three benefits of the design-build approach.</w:t>
      </w:r>
    </w:p>
    <w:p>
      <w:pPr>
        <w:pStyle w:val="ListParagraph"/>
        <w:numPr>
          <w:ilvl w:val="0"/>
          <w:numId w:val="3"/>
        </w:numPr>
        <w:spacing w:after="80"/>
      </w:pPr>
      <w:r>
        <w:t xml:space="preserve">Asked what qualities matter to them — asked what they value in a contractor.</w:t>
      </w:r>
    </w:p>
    <w:p>
      <w:pPr>
        <w:pStyle w:val="ListParagraph"/>
        <w:numPr>
          <w:ilvl w:val="0"/>
          <w:numId w:val="3"/>
        </w:numPr>
        <w:spacing w:after="80"/>
      </w:pPr>
      <w:r>
        <w:t xml:space="preserve">Asked when the home was built.</w:t>
      </w:r>
    </w:p>
    <w:p>
      <w:pPr>
        <w:pStyle w:val="ListParagraph"/>
        <w:numPr>
          <w:ilvl w:val="0"/>
          <w:numId w:val="3"/>
        </w:numPr>
        <w:spacing w:after="80"/>
      </w:pPr>
      <w:r>
        <w:t xml:space="preserve">Asked how long they plan to stay in the home.</w:t>
      </w:r>
    </w:p>
    <w:p>
      <w:pPr>
        <w:pStyle w:val="ListParagraph"/>
        <w:numPr>
          <w:ilvl w:val="0"/>
          <w:numId w:val="3"/>
        </w:numPr>
        <w:spacing w:after="80"/>
      </w:pPr>
      <w:r>
        <w:t xml:space="preserve">Explained the design package — covered what's included (selections, 3D renderings, fixed pricing, $2K/room design fee).</w:t>
      </w:r>
    </w:p>
    <w:p>
      <w:pPr>
        <w:pStyle w:val="ListParagraph"/>
        <w:numPr>
          <w:ilvl w:val="0"/>
          <w:numId w:val="3"/>
        </w:numPr>
        <w:spacing w:after="80"/>
      </w:pPr>
      <w:r>
        <w:t xml:space="preserve">Mentioned 3D renderings.</w:t>
      </w:r>
    </w:p>
    <w:p>
      <w:pPr>
        <w:pStyle w:val="ListParagraph"/>
        <w:numPr>
          <w:ilvl w:val="0"/>
          <w:numId w:val="3"/>
        </w:numPr>
        <w:spacing w:after="80"/>
      </w:pPr>
      <w:r>
        <w:t xml:space="preserve">Mentioned fixed pricing — referenced getting a fixed price before construction starts.</w:t>
      </w:r>
    </w:p>
    <w:p>
      <w:pPr>
        <w:pStyle w:val="ListParagraph"/>
        <w:numPr>
          <w:ilvl w:val="0"/>
          <w:numId w:val="3"/>
        </w:numPr>
        <w:spacing w:after="80"/>
      </w:pPr>
      <w:r>
        <w:t xml:space="preserve">Asked about peace of mind — asked whether the package gives them peace of mind and control.</w:t>
      </w:r>
    </w:p>
    <w:p>
      <w:pPr>
        <w:pStyle w:val="ListParagraph"/>
        <w:numPr>
          <w:ilvl w:val="0"/>
          <w:numId w:val="3"/>
        </w:numPr>
        <w:spacing w:after="80"/>
      </w:pPr>
      <w:r>
        <w:t xml:space="preserve">Addressed a design-build objection — if the homeowner pushed back on the design-build model specifically, addressed it. (Only scored if that objection came up.)</w:t>
      </w:r>
    </w:p>
    <w:p>
      <w:pPr>
        <w:pStyle w:val="ListParagraph"/>
        <w:numPr>
          <w:ilvl w:val="0"/>
          <w:numId w:val="3"/>
        </w:numPr>
        <w:spacing w:after="80"/>
      </w:pPr>
      <w:r>
        <w:t xml:space="preserve">Attempted to close — made a direct attempt to schedule the in-home evaluation.</w:t>
      </w:r>
    </w:p>
    <w:p>
      <w:pPr>
        <w:spacing w:after="120"/>
      </w:pPr>
    </w:p>
    <w:p>
      <w:pPr>
        <w:spacing w:after="100"/>
      </w:pPr>
      <w:r>
        <w:rPr>
          <w:b/>
          <w:bCs/>
        </w:rPr>
        <w:t xml:space="preserve">Extra detail when a call comes back “Too Expensive”</w:t>
      </w:r>
    </w:p>
    <w:p>
      <w:pPr>
        <w:spacing w:after="160"/>
      </w:pPr>
      <w:r>
        <w:t xml:space="preserve">When the outcome is specifically a price objection, the system also captures a bit more detail on that one objection: whether a price range was given before the pushback came up, whether the scope was confirmed before that range was given, whether a competitor was mentioned, and the objection and Justin's response quoted directly from the transcript. It also tags the objection as one of three types: a hard number or constraint clearly below a reasonable project floor, price resistance with no hard number given, or resistance that came up before a price was given or scope was confirmed (a sequencing issue rather than a true price objection).</w:t>
      </w:r>
    </w:p>
    <w:p>
      <w:pPr>
        <w:spacing w:after="100"/>
      </w:pPr>
    </w:p>
    <w:p>
      <w:pPr>
        <w:pStyle w:val="Heading1"/>
        <w:spacing w:after="150" w:before="300"/>
      </w:pPr>
      <w:r>
        <w:t xml:space="preserve">Step 2: Turning Grades Into Rates (“Rollup Rates”)</w:t>
      </w:r>
    </w:p>
    <w:p>
      <w:pPr>
        <w:spacing w:after="160"/>
      </w:pPr>
      <w:r>
        <w:t xml:space="preserve">Runs automatically every day at 8:30 AM, right after the calls are graded.</w:t>
      </w:r>
    </w:p>
    <w:p>
      <w:pPr>
        <w:pStyle w:val="Heading2"/>
        <w:spacing w:after="120" w:before="240"/>
      </w:pPr>
      <w:r>
        <w:t xml:space="preserve">Why it waits before counting a month</w:t>
      </w:r>
    </w:p>
    <w:p>
      <w:pPr>
        <w:spacing w:after="160"/>
      </w:pPr>
      <w:r>
        <w:t xml:space="preserve">A given month's calls aren't final the moment the month ends — some deals are still moving through nurture, waiting on photos, etc. So a calendar month is only included in the rates once its last day plus 21 days has passed. This gives things time to settle so the numbers aren't misleadingly low just because a bunch of deals hadn't been updated yet.</w:t>
      </w:r>
    </w:p>
    <w:p>
      <w:pPr>
        <w:pStyle w:val="Heading2"/>
        <w:spacing w:after="120" w:before="240"/>
      </w:pPr>
      <w:r>
        <w:t xml:space="preserve">The Three Rates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rPr>
          <w:tblHeader/>
        </w:trPr>
        <w:tc>
          <w:tcPr>
            <w:tcW w:type="dxa" w:w="2400"/>
            <w:shd w:fill="1F4E5F" w:color="auto" w:val="clear"/>
            <w:tcMar>
              <w:top w:type="dxa" w:w="100"/>
              <w:left w:type="dxa" w:w="120"/>
              <w:bottom w:type="dxa" w:w="100"/>
              <w:right w:type="dxa" w:w="120"/>
            </w:tcMar>
          </w:tcPr>
          <w:p>
            <w:r>
              <w:rPr>
                <w:b/>
                <w:bCs/>
                <w:color w:val="FFFFFF"/>
                <w:sz w:val="20"/>
                <w:szCs w:val="20"/>
              </w:rPr>
              <w:t xml:space="preserve">Rate</w:t>
            </w:r>
          </w:p>
        </w:tc>
        <w:tc>
          <w:tcPr>
            <w:tcW w:type="dxa" w:w="4200"/>
            <w:shd w:fill="1F4E5F" w:color="auto" w:val="clear"/>
            <w:tcMar>
              <w:top w:type="dxa" w:w="100"/>
              <w:left w:type="dxa" w:w="120"/>
              <w:bottom w:type="dxa" w:w="100"/>
              <w:right w:type="dxa" w:w="120"/>
            </w:tcMar>
          </w:tcPr>
          <w:p>
            <w:r>
              <w:rPr>
                <w:b/>
                <w:bCs/>
                <w:color w:val="FFFFFF"/>
                <w:sz w:val="20"/>
                <w:szCs w:val="20"/>
              </w:rPr>
              <w:t xml:space="preserve">What it answers</w:t>
            </w:r>
          </w:p>
        </w:tc>
        <w:tc>
          <w:tcPr>
            <w:tcW w:type="dxa" w:w="2800"/>
            <w:shd w:fill="1F4E5F" w:color="auto" w:val="clear"/>
            <w:tcMar>
              <w:top w:type="dxa" w:w="100"/>
              <w:left w:type="dxa" w:w="120"/>
              <w:bottom w:type="dxa" w:w="100"/>
              <w:right w:type="dxa" w:w="120"/>
            </w:tcMar>
          </w:tcPr>
          <w:p>
            <w:r>
              <w:rPr>
                <w:b/>
                <w:bCs/>
                <w:color w:val="FFFFFF"/>
                <w:sz w:val="20"/>
                <w:szCs w:val="20"/>
              </w:rPr>
              <w:t xml:space="preserve">How it's calculated</w:t>
            </w:r>
          </w:p>
        </w:tc>
      </w:tr>
      <w:tr>
        <w:tc>
          <w:tcPr>
            <w:tcW w:type="dxa" w:w="2400"/>
            <w:tcMar>
              <w:top w:type="dxa" w:w="100"/>
              <w:left w:type="dxa" w:w="120"/>
              <w:bottom w:type="dxa" w:w="100"/>
              <w:right w:type="dxa" w:w="120"/>
            </w:tcMar>
          </w:tcPr>
          <w:p>
            <w:r>
              <w:rPr>
                <w:b w:val="false"/>
                <w:bCs w:val="false"/>
                <w:color w:val="000000"/>
                <w:sz w:val="20"/>
                <w:szCs w:val="20"/>
              </w:rPr>
              <w:t xml:space="preserve">Show Rate</w:t>
            </w:r>
          </w:p>
        </w:tc>
        <w:tc>
          <w:tcPr>
            <w:tcW w:type="dxa" w:w="4200"/>
            <w:tcMar>
              <w:top w:type="dxa" w:w="100"/>
              <w:left w:type="dxa" w:w="120"/>
              <w:bottom w:type="dxa" w:w="100"/>
              <w:right w:type="dxa" w:w="120"/>
            </w:tcMar>
          </w:tcPr>
          <w:p>
            <w:r>
              <w:rPr>
                <w:b w:val="false"/>
                <w:bCs w:val="false"/>
                <w:color w:val="000000"/>
                <w:sz w:val="20"/>
                <w:szCs w:val="20"/>
              </w:rPr>
              <w:t xml:space="preserve">Of everyone who had a call, how many actually showed up / had a real conversation?</w:t>
            </w:r>
          </w:p>
        </w:tc>
        <w:tc>
          <w:tcPr>
            <w:tcW w:type="dxa" w:w="2800"/>
            <w:tcMar>
              <w:top w:type="dxa" w:w="100"/>
              <w:left w:type="dxa" w:w="120"/>
              <w:bottom w:type="dxa" w:w="100"/>
              <w:right w:type="dxa" w:w="120"/>
            </w:tcMar>
          </w:tcPr>
          <w:p>
            <w:r>
              <w:rPr>
                <w:b w:val="false"/>
                <w:bCs w:val="false"/>
                <w:color w:val="000000"/>
                <w:sz w:val="20"/>
                <w:szCs w:val="20"/>
              </w:rPr>
              <w:t xml:space="preserve">(All graded calls − no-shows) ÷ all graded calls</w:t>
            </w:r>
          </w:p>
        </w:tc>
      </w:tr>
      <w:tr>
        <w:tc>
          <w:tcPr>
            <w:tcW w:type="dxa" w:w="2400"/>
            <w:tcMar>
              <w:top w:type="dxa" w:w="100"/>
              <w:left w:type="dxa" w:w="120"/>
              <w:bottom w:type="dxa" w:w="100"/>
              <w:right w:type="dxa" w:w="120"/>
            </w:tcMar>
          </w:tcPr>
          <w:p>
            <w:r>
              <w:rPr>
                <w:b w:val="false"/>
                <w:bCs w:val="false"/>
                <w:color w:val="000000"/>
                <w:sz w:val="20"/>
                <w:szCs w:val="20"/>
              </w:rPr>
              <w:t xml:space="preserve">Qualification Rate</w:t>
            </w:r>
          </w:p>
        </w:tc>
        <w:tc>
          <w:tcPr>
            <w:tcW w:type="dxa" w:w="4200"/>
            <w:tcMar>
              <w:top w:type="dxa" w:w="100"/>
              <w:left w:type="dxa" w:w="120"/>
              <w:bottom w:type="dxa" w:w="100"/>
              <w:right w:type="dxa" w:w="120"/>
            </w:tcMar>
          </w:tcPr>
          <w:p>
            <w:r>
              <w:rPr>
                <w:b w:val="false"/>
                <w:bCs w:val="false"/>
                <w:color w:val="000000"/>
                <w:sz w:val="20"/>
                <w:szCs w:val="20"/>
              </w:rPr>
              <w:t xml:space="preserve">Of everyone who had a call, how many were a genuinely good fit? (Broken out by lead source.)</w:t>
            </w:r>
          </w:p>
        </w:tc>
        <w:tc>
          <w:tcPr>
            <w:tcW w:type="dxa" w:w="2800"/>
            <w:tcMar>
              <w:top w:type="dxa" w:w="100"/>
              <w:left w:type="dxa" w:w="120"/>
              <w:bottom w:type="dxa" w:w="100"/>
              <w:right w:type="dxa" w:w="120"/>
            </w:tcMar>
          </w:tcPr>
          <w:p>
            <w:r>
              <w:rPr>
                <w:b w:val="false"/>
                <w:bCs w:val="false"/>
                <w:color w:val="000000"/>
                <w:sz w:val="20"/>
                <w:szCs w:val="20"/>
              </w:rPr>
              <w:t xml:space="preserve">(Booked + Qualified-not-booked) ÷ all graded calls</w:t>
            </w:r>
          </w:p>
        </w:tc>
      </w:tr>
      <w:tr>
        <w:tc>
          <w:tcPr>
            <w:tcW w:type="dxa" w:w="2400"/>
            <w:tcMar>
              <w:top w:type="dxa" w:w="100"/>
              <w:left w:type="dxa" w:w="120"/>
              <w:bottom w:type="dxa" w:w="100"/>
              <w:right w:type="dxa" w:w="120"/>
            </w:tcMar>
          </w:tcPr>
          <w:p>
            <w:r>
              <w:rPr>
                <w:b w:val="false"/>
                <w:bCs w:val="false"/>
                <w:color w:val="000000"/>
                <w:sz w:val="20"/>
                <w:szCs w:val="20"/>
              </w:rPr>
              <w:t xml:space="preserve">Booking Rate</w:t>
            </w:r>
          </w:p>
        </w:tc>
        <w:tc>
          <w:tcPr>
            <w:tcW w:type="dxa" w:w="4200"/>
            <w:tcMar>
              <w:top w:type="dxa" w:w="100"/>
              <w:left w:type="dxa" w:w="120"/>
              <w:bottom w:type="dxa" w:w="100"/>
              <w:right w:type="dxa" w:w="120"/>
            </w:tcMar>
          </w:tcPr>
          <w:p>
            <w:r>
              <w:rPr>
                <w:b w:val="false"/>
                <w:bCs w:val="false"/>
                <w:color w:val="000000"/>
                <w:sz w:val="20"/>
                <w:szCs w:val="20"/>
              </w:rPr>
              <w:t xml:space="preserve">Of the good-fit leads, how many actually got an in-home eval on the books?</w:t>
            </w:r>
          </w:p>
        </w:tc>
        <w:tc>
          <w:tcPr>
            <w:tcW w:type="dxa" w:w="2800"/>
            <w:tcMar>
              <w:top w:type="dxa" w:w="100"/>
              <w:left w:type="dxa" w:w="120"/>
              <w:bottom w:type="dxa" w:w="100"/>
              <w:right w:type="dxa" w:w="120"/>
            </w:tcMar>
          </w:tcPr>
          <w:p>
            <w:r>
              <w:rPr>
                <w:b w:val="false"/>
                <w:bCs w:val="false"/>
                <w:color w:val="000000"/>
                <w:sz w:val="20"/>
                <w:szCs w:val="20"/>
              </w:rPr>
              <w:t xml:space="preserve">Booked ÷ (Booked + Qualified-not-booked)</w:t>
            </w:r>
          </w:p>
        </w:tc>
      </w:tr>
    </w:tbl>
    <w:p>
      <w:pPr>
        <w:spacing w:after="200"/>
      </w:pPr>
    </w:p>
    <w:p>
      <w:pPr>
        <w:spacing w:after="160"/>
      </w:pPr>
      <w:r>
        <w:t xml:space="preserve">The report also breaks these numbers out by lead source, and shows a month-by-month trend for the last 90 days so recent movement is easy to see. Any group with fewer than 10 calls gets flagged as “Low sample” as a reminder not to read too much into a handful of calls.</w:t>
      </w:r>
    </w:p>
    <w:p>
      <w:pPr>
        <w:pBdr>
          <w:bottom w:val="single" w:color="CCCCCC" w:sz="6" w:space="1"/>
        </w:pBdr>
        <w:spacing w:after="200" w:before="200"/>
      </w:pPr>
    </w:p>
    <w:p>
      <w:pPr>
        <w:pStyle w:val="Heading1"/>
        <w:spacing w:after="150" w:before="300"/>
      </w:pPr>
      <w:r>
        <w:t xml:space="preserve">Where to Find the Results</w:t>
      </w:r>
    </w:p>
    <w:p>
      <w:pPr>
        <w:spacing w:after="160"/>
      </w:pPr>
      <w:r>
        <w:t xml:space="preserve">Open the “Conversion Rollup” tab in the same spreadsheet Justin's call feedback lives in. It refreshes automatically every morning — no need to run anything by hand.</w:t>
      </w:r>
    </w:p>
    <w:p>
      <w:pPr>
        <w:pStyle w:val="Heading1"/>
        <w:spacing w:after="150" w:before="300"/>
      </w:pPr>
      <w:r>
        <w:t xml:space="preserve">Recent Change: Where “Lead Source” Comes From</w:t>
      </w:r>
    </w:p>
    <w:p>
      <w:pPr>
        <w:spacing w:after="160"/>
      </w:pPr>
      <w:r>
        <w:t xml:space="preserve">As of July 31, 2026, Lead Source is pulled from GHL's “Lead Source Category” field on the contact record, instead of the older deal-source field. This field uses cleaner, more consistent category names (Google Organic Search, Facebook Groups, GMB, Referral, etc.), so the Lead Source Breakdown should be easier to read going forward. All 249 previously-graded calls were updated to use this same field, so historical and new data are on the same footing.</w:t>
      </w:r>
    </w:p>
    <w:p>
      <w:pPr>
        <w:pStyle w:val="Heading1"/>
        <w:spacing w:after="150" w:before="300"/>
      </w:pPr>
      <w:r>
        <w:t xml:space="preserve">A Few Things Worth Knowing</w:t>
      </w:r>
    </w:p>
    <w:p>
      <w:pPr>
        <w:pStyle w:val="ListParagraph"/>
        <w:numPr>
          <w:ilvl w:val="0"/>
          <w:numId w:val="2"/>
        </w:numPr>
        <w:spacing w:after="80"/>
      </w:pPr>
      <w:r>
        <w:t xml:space="preserve">A handful of contacts (3 out of 249) don't have a Lead Source Category filled in on the GHL side, so those show up blank in the report. Nothing broken — the data just isn't there in GHL.</w:t>
      </w:r>
    </w:p>
    <w:p>
      <w:pPr>
        <w:pStyle w:val="ListParagraph"/>
        <w:numPr>
          <w:ilvl w:val="0"/>
          <w:numId w:val="2"/>
        </w:numPr>
        <w:spacing w:after="80"/>
      </w:pPr>
      <w:r>
        <w:t xml:space="preserve">The system won't guess at a call outcome it doesn't recognize. If GHL introduces a new deal stage that isn't in its rules yet, that call shows as UNCLASSIFIED so it gets noticed and reviewed, rather than silently counted wrong.</w:t>
      </w:r>
    </w:p>
    <w:p>
      <w:pPr>
        <w:pStyle w:val="ListParagraph"/>
        <w:numPr>
          <w:ilvl w:val="0"/>
          <w:numId w:val="2"/>
        </w:numPr>
        <w:spacing w:after="80"/>
      </w:pPr>
      <w:r>
        <w:t xml:space="preserve">Rates only include calls from months that have fully settled (21+ days past month-end), so very recent activity won't show up in the rate calculations right away — that's intentional, not a delay bug.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2026-07-31T14:26:36.247Z</dcterms:created>
  <dcterms:modified xsi:type="dcterms:W3CDTF">2026-07-31T14:26:36.250Z</dcterms:modified>
</cp:coreProperties>
</file>

<file path=docProps/custom.xml><?xml version="1.0" encoding="utf-8"?>
<Properties xmlns="http://schemas.openxmlformats.org/officeDocument/2006/custom-properties" xmlns:vt="http://schemas.openxmlformats.org/officeDocument/2006/docPropsVTypes"/>
</file>