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56"/>
        </w:rPr>
        <w:t>AI Phishing Detector</w:t>
      </w:r>
    </w:p>
    <w:p>
      <w:pPr>
        <w:jc w:val="center"/>
      </w:pPr>
      <w:r>
        <w:rPr>
          <w:color w:val="546E7A"/>
          <w:sz w:val="28"/>
        </w:rPr>
        <w:t>Testeabilidad desde un Cliente Externo</w:t>
      </w:r>
    </w:p>
    <w:p/>
    <w:p>
      <w:pPr>
        <w:jc w:val="center"/>
      </w:pPr>
      <w:r>
        <w:rPr>
          <w:i/>
          <w:color w:val="90A4AE"/>
          <w:sz w:val="22"/>
        </w:rPr>
        <w:t>Swagger  ·  curl  ·  Postman  ·  Producto esperado</w:t>
      </w:r>
    </w:p>
    <w:p/>
    <w:p>
      <w:pPr>
        <w:jc w:val="center"/>
      </w:pPr>
      <w:r>
        <w:rPr>
          <w:color w:val="78909C"/>
          <w:sz w:val="20"/>
        </w:rPr>
        <w:t>Melvin Mendoza  ·  Rama phishing-ia/risk-engine-v2  · 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Requisito</w:t>
      </w:r>
    </w:p>
    <w:p>
      <w:r>
        <w:rPr>
          <w:i/>
          <w:sz w:val="21"/>
        </w:rPr>
        <w:t>“La API debe permitir que la funcionalidad de IA pueda ser probada desde un cliente externo como Swagger, curl, Postman o una interfaz web simple.”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819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70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Swagger UI</w:t>
            </w:r>
          </w:p>
        </w:tc>
        <w:tc>
          <w:tcPr>
            <w:tcW w:type="dxa" w:w="1417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FastAPI expone /docs automaticamente; con response_model + tags + summary/description en los 6 endpoints (ver informe_api_endpoints.docx) queda usable sin leer el codigo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curl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Contrato JSON simple sobre HTTP; requiere header X-API-Key solo si API_KEY esta configurada</w:t>
            </w:r>
          </w:p>
        </w:tc>
      </w:tr>
      <w:tr>
        <w:tc>
          <w:tcPr>
            <w:tcW w:type="dxa" w:w="170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Postman</w:t>
            </w:r>
          </w:p>
        </w:tc>
        <w:tc>
          <w:tcPr>
            <w:tcW w:type="dxa" w:w="1417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Mismo contrato REST/JSON que curl; el spec OpenAPI (/openapi.json) se puede importar directo a Postman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Interfaz web simple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 (via Swagger)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existe una UI standalone fuera de la extension de Chrome; Swagger UI cubre el caso de 'interfaz web' para pruebas manuales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2. Producto Esperado</w:t>
      </w:r>
    </w:p>
    <w:p>
      <w:r>
        <w:rPr>
          <w:sz w:val="19"/>
        </w:rPr>
        <w:t>Estado de cada entregable, verificado contra el codigo y la documentacion actuales del repositorio (rama phishing-ia/risk-engine-v2).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76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04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Codigo actualizado del proyecto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Ultimo commit en la rama incluye Docker, seguridad, response_model/tags y la suite de tests ampliada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Endpoint principal de IA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 /predict (pipeline completo) y POST /analyze-content (clasificacion de texto)</w:t>
            </w:r>
          </w:p>
        </w:tc>
      </w:tr>
      <w:tr>
        <w:tc>
          <w:tcPr>
            <w:tcW w:type="dxa" w:w="204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Endpoint /health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/health -&gt; {"status": "healthy"}, sin autenticacion, usado por la extension y el HEALTHCHECK de Docker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Endpoint /metadata o equivalente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/metadata (nuevo): version de la API, disponibilidad de cada modelo ML, rate limit y config de cache — sin autenticacion, tag Sistema</w:t>
            </w:r>
          </w:p>
        </w:tc>
      </w:tr>
      <w:tr>
        <w:tc>
          <w:tcPr>
            <w:tcW w:type="dxa" w:w="204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Contrato de entrada y salida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Request: UrlRequest / TextRequest (Pydantic). Response: PredictResponse / ContentAnalysisResponse / CacheStatsResponse / CacheClearResponse / HealthResponse / RootResponse / MetadataResponse / ErrorResponse (backend/app/schemas/)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Validacion basica de datos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Pydantic valida tipos y el prefijo http(s):// de UrlRequest.url; errores devuelven 422 automatico con detalle de campo</w:t>
            </w:r>
          </w:p>
        </w:tc>
      </w:tr>
      <w:tr>
        <w:tc>
          <w:tcPr>
            <w:tcW w:type="dxa" w:w="204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Manejo controlado de errores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Exception handler global (@app.exception_handler(Exception) en main.py) agregado: cualquier excepcion no capturada en el flujo principal ahora devuelve 500 con contrato JSON consistente ({"error": ..., "detail": ...}), ademas de la degradacion por sub-servicio ya existente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Evidencia de prueba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268 tests (pytest.ini: testpaths = tests backend/tests), incluye tests de contrato para los 7 endpoints, 403, 429 y el 500 controlado</w:t>
            </w:r>
          </w:p>
        </w:tc>
      </w:tr>
      <w:tr>
        <w:tc>
          <w:tcPr>
            <w:tcW w:type="dxa" w:w="204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README actualizado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Nueva seccion 'Probar la API sin escribir codigo' (Swagger, Postman via /openapi.json, ejemplo curl); tabla de endpoints actualizada con /metadata; link a docs/api.md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docs/api.md o equivalente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476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Nuevo docs/api.md: contrato de los 7 endpoints, ejemplos curl, tabla de codigos de error (422/403/429/500), instrucciones de Swagger/Postman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3. Detalle de lo Implementado</w:t>
      </w:r>
    </w:p>
    <w:p>
      <w:pPr>
        <w:pStyle w:val="Heading2"/>
      </w:pPr>
      <w:r>
        <w:rPr>
          <w:color w:val="2E7D32"/>
        </w:rPr>
        <w:t>3.1 Endpoint /metadata</w:t>
      </w:r>
    </w:p>
    <w:p>
      <w:r>
        <w:rPr>
          <w:sz w:val="19"/>
        </w:rPr>
        <w:t>GET /metadata expone informacion de la API en si misma, sin cargar ni inicializar los modelos (solo verifica existencia de archivos/carpetas en get_models_dir(), evitando romper el lazy loading de RoBERTa).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GET /metadata</w:t>
        <w:br/>
        <w:t>{</w:t>
        <w:br/>
        <w:t xml:space="preserve">  "api_version": "1.0.0",</w:t>
        <w:br/>
        <w:t xml:space="preserve">  "models": { "random_forest": true, "roberta_url": true, "roberta_content": true },</w:t>
        <w:br/>
        <w:t xml:space="preserve">  "rate_limit_per_minute": 30,</w:t>
        <w:br/>
        <w:t xml:space="preserve">  "cache_ttl_seconds": 600,</w:t>
        <w:br/>
        <w:t xml:space="preserve">  "cache_max_size": 500</w:t>
        <w:br/>
        <w:t>}</w:t>
      </w:r>
    </w:p>
    <w:p/>
    <w:p>
      <w:pPr>
        <w:pStyle w:val="Heading2"/>
      </w:pPr>
      <w:r>
        <w:rPr>
          <w:color w:val="2E7D32"/>
        </w:rPr>
        <w:t>3.2 Manejo controlado de errores</w:t>
      </w:r>
    </w:p>
    <w:p>
      <w:r>
        <w:rPr>
          <w:sz w:val="19"/>
        </w:rPr>
        <w:t>Estado por capa despues del cambio:</w:t>
      </w:r>
    </w:p>
    <w:p>
      <w:pPr>
        <w:pStyle w:val="ListBullet"/>
        <w:ind w:left="227"/>
      </w:pPr>
      <w:r>
        <w:rPr>
          <w:sz w:val="19"/>
        </w:rPr>
        <w:t>APIs externas y sub-tareas del pipeline: sin cambios, ya degradaban a {"error": "..."} dentro de su propia clave (_safe(), try/except por servicio)</w:t>
      </w:r>
    </w:p>
    <w:p>
      <w:pPr>
        <w:pStyle w:val="ListBullet"/>
        <w:ind w:left="227"/>
      </w:pPr>
      <w:r>
        <w:rPr>
          <w:sz w:val="19"/>
        </w:rPr>
        <w:t>Nuevo: @app.exception_handler(Exception) en main.py — cualquier excepcion que escape de esas rutas ahora devuelve 500 { "error": "Error interno del servidor", "detail": "..." }, con detail=null si ENVIRONMENT=production (no filtra detalles internos en despliegues publicos)</w:t>
      </w:r>
    </w:p>
    <w:p>
      <w:pPr>
        <w:pStyle w:val="ListBullet"/>
        <w:ind w:left="227"/>
      </w:pPr>
      <w:r>
        <w:rPr>
          <w:sz w:val="19"/>
        </w:rPr>
        <w:t>Nota tecnica: Starlette re-lanza las excepciones de servidor en TestClient por diseno (para visibilidad en debugging/Sentry) aun cuando el handler ya envio la respuesta 500 correcta; el test usa TestClient(app, raise_server_exceptions=False) para verificar el contrato JSON real que recibe un cliente externo</w:t>
      </w:r>
    </w:p>
    <w:p/>
    <w:p>
      <w:pPr>
        <w:pStyle w:val="Heading2"/>
      </w:pPr>
      <w:r>
        <w:rPr>
          <w:color w:val="2E7D32"/>
        </w:rPr>
        <w:t>3.3 docs/api.md</w:t>
      </w:r>
    </w:p>
    <w:p>
      <w:pPr>
        <w:pStyle w:val="ListBullet"/>
        <w:ind w:left="227"/>
      </w:pPr>
      <w:r>
        <w:rPr>
          <w:sz w:val="19"/>
        </w:rPr>
        <w:t>Nuevo documento Markdown versionado en git: referencia de los 7 endpoints, ejemplos curl, tabla de codigos de error, instrucciones para Swagger y Postman</w:t>
      </w:r>
    </w:p>
    <w:p>
      <w:pPr>
        <w:pStyle w:val="ListBullet"/>
        <w:ind w:left="227"/>
      </w:pPr>
      <w:r>
        <w:rPr>
          <w:sz w:val="19"/>
        </w:rPr>
        <w:t>informe_api_endpoints.docx sigue existiendo como el informe de sesion; docs/api.md es la referencia estable que vive junto al codigo</w:t>
      </w:r>
    </w:p>
    <w:p/>
    <w:p>
      <w:pPr>
        <w:pStyle w:val="Heading2"/>
      </w:pPr>
      <w:r>
        <w:rPr>
          <w:color w:val="2E7D32"/>
        </w:rPr>
        <w:t>3.4 README — probar la API</w:t>
      </w:r>
    </w:p>
    <w:p>
      <w:pPr>
        <w:pStyle w:val="ListBullet"/>
        <w:ind w:left="227"/>
      </w:pPr>
      <w:r>
        <w:rPr>
          <w:sz w:val="19"/>
        </w:rPr>
        <w:t>Nueva seccion 'Probar la API sin escribir codigo': link a /docs, instrucciones de import a Postman via /openapi.json, ejemplo curl completo</w:t>
      </w:r>
    </w:p>
    <w:p>
      <w:pPr>
        <w:pStyle w:val="ListBullet"/>
        <w:ind w:left="227"/>
      </w:pPr>
      <w:r>
        <w:rPr>
          <w:sz w:val="19"/>
        </w:rPr>
        <w:t>Tabla de endpoints actualizada con /health y /metadata; nueva fila en 'Documentacion' apuntando a docs/api.md</w:t>
      </w:r>
    </w:p>
    <w:p>
      <w:r>
        <w:br w:type="page"/>
      </w:r>
    </w:p>
    <w:p>
      <w:pPr>
        <w:pStyle w:val="Heading1"/>
      </w:pPr>
      <w:r>
        <w:rPr>
          <w:color w:val="1E3A5F"/>
        </w:rPr>
        <w:t>4. Evidencia</w:t>
      </w:r>
    </w:p>
    <w:p>
      <w:pPr>
        <w:pStyle w:val="Heading2"/>
      </w:pPr>
      <w:r>
        <w:rPr>
          <w:color w:val="2E7D32"/>
        </w:rPr>
        <w:t>4.1 Ejemplo curl — POST /predict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-X POST http://localhost:8000/predict \</w:t>
        <w:br/>
        <w:t xml:space="preserve">  -H "Content-Type: application/json" \</w:t>
        <w:br/>
        <w:t xml:space="preserve">  -H "X-API-Key: &lt;tu_api_key&gt;" \</w:t>
        <w:br/>
        <w:t xml:space="preserve">  -d '{"url": "https://ejemplo.com"}'</w:t>
      </w:r>
    </w:p>
    <w:p/>
    <w:p>
      <w:pPr>
        <w:pStyle w:val="Heading2"/>
      </w:pPr>
      <w:r>
        <w:rPr>
          <w:color w:val="2E7D32"/>
        </w:rPr>
        <w:t>4.2 Ejemplo curl — POST /analyze-content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-X POST http://localhost:8000/analyze-content \</w:t>
        <w:br/>
        <w:t xml:space="preserve">  -H "Content-Type: application/json" \</w:t>
        <w:br/>
        <w:t xml:space="preserve">  -H "X-API-Key: &lt;tu_api_key&gt;" \</w:t>
        <w:br/>
        <w:t xml:space="preserve">  -d '{"text": "..."}'   # &gt;= 300 caracteres para ser clasificado</w:t>
      </w:r>
    </w:p>
    <w:p/>
    <w:p>
      <w:pPr>
        <w:pStyle w:val="Heading2"/>
      </w:pPr>
      <w:r>
        <w:rPr>
          <w:color w:val="2E7D32"/>
        </w:rPr>
        <w:t>4.3 GET /metadata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http://localhost:8000/metadata</w:t>
      </w:r>
    </w:p>
    <w:p/>
    <w:p>
      <w:pPr>
        <w:pStyle w:val="Heading2"/>
      </w:pPr>
      <w:r>
        <w:rPr>
          <w:color w:val="2E7D32"/>
        </w:rPr>
        <w:t>4.4 Swagger UI y Postman</w:t>
      </w:r>
    </w:p>
    <w:p>
      <w:pPr>
        <w:pStyle w:val="ListBullet"/>
        <w:ind w:left="227"/>
      </w:pPr>
      <w:r>
        <w:rPr>
          <w:sz w:val="19"/>
        </w:rPr>
        <w:t>http://localhost:8000/docs — interfaz interactiva generada por FastAPI, agrupada en tags Sistema / Analisis / Cache, con 'Try it out' funcional para los 7 endpoints</w:t>
      </w:r>
    </w:p>
    <w:p>
      <w:pPr>
        <w:pStyle w:val="ListBullet"/>
        <w:ind w:left="227"/>
      </w:pPr>
      <w:r>
        <w:rPr>
          <w:sz w:val="19"/>
        </w:rPr>
        <w:t>http://localhost:8000/openapi.json — spec OpenAPI 3.1 importable directamente a Postman (Import &gt; Link)</w:t>
      </w:r>
    </w:p>
    <w:p/>
    <w:p>
      <w:pPr>
        <w:pStyle w:val="Heading2"/>
      </w:pPr>
      <w:r>
        <w:rPr>
          <w:color w:val="2E7D32"/>
        </w:rPr>
        <w:t>4.5 Validacion de datos (ejemplo)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POST /predict  { "url": "no-es-una-url" }</w:t>
        <w:br/>
        <w:t>-&gt; 422 { "detail": [{"loc": ["body","url"], "msg": "Value error, La URL debe</w:t>
        <w:br/>
        <w:t xml:space="preserve">   comenzar con http:// o https://", "type": "value_error"}] }</w:t>
      </w:r>
    </w:p>
    <w:p/>
    <w:p>
      <w:pPr>
        <w:pStyle w:val="Heading2"/>
      </w:pPr>
      <w:r>
        <w:rPr>
          <w:color w:val="2E7D32"/>
        </w:rPr>
        <w:t>4.6 Error 500 controlado (ejemplo)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POST /predict  (excepcion no prevista en el flujo principal)</w:t>
        <w:br/>
        <w:t>-&gt; 500 { "error": "Error interno del servidor", "detail": "boom" }</w:t>
        <w:br/>
        <w:t xml:space="preserve">   (detail=null si ENVIRONMENT=production)</w:t>
      </w:r>
    </w:p>
    <w:p>
      <w:r>
        <w:br w:type="page"/>
      </w:r>
    </w:p>
    <w:p>
      <w:pPr>
        <w:pStyle w:val="Heading1"/>
      </w:pPr>
      <w:r>
        <w:rPr>
          <w:color w:val="1E3A5F"/>
        </w:rPr>
        <w:t>5. Resultado</w:t>
      </w:r>
    </w:p>
    <w:p>
      <w:r>
        <w:rPr>
          <w:sz w:val="19"/>
        </w:rPr>
        <w:t>Las 4 acciones de la version anterior de este informe (endpoint /metadata, exception handler global, docs/api.md, seccion de README) fueron implementadas y verificadas: 268/268 tests aprobados (265 previos + 3 nuevos: 2 para /metadata, 1 para el 500 controlado). El producto esperado del punto 2 queda completo.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0A4AE"/>
        <w:sz w:val="16"/>
      </w:rPr>
      <w:t>AI Phishing Detector — Testeabilidad desde un Cliente Externo  ·  Melvin Mendoza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