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API Inteligente</w:t>
      </w:r>
    </w:p>
    <w:p/>
    <w:p>
      <w:pPr>
        <w:jc w:val="center"/>
      </w:pPr>
      <w:r>
        <w:rPr>
          <w:i/>
          <w:color w:val="90A4AE"/>
          <w:sz w:val="22"/>
        </w:rPr>
        <w:t>Exponer el proyecto mediante endpoints claros y testeables</w:t>
      </w:r>
    </w:p>
    <w:p/>
    <w:p>
      <w:pPr>
        <w:jc w:val="center"/>
      </w:pPr>
      <w:r>
        <w:rPr>
          <w:color w:val="78909C"/>
          <w:sz w:val="20"/>
        </w:rPr>
        <w:t>Melvin Mendoza  ·  Rama phishing-ia/risk-engine-v2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Inventario de Endpoints</w:t>
      </w:r>
    </w:p>
    <w:p>
      <w:r>
        <w:rPr>
          <w:sz w:val="19"/>
        </w:rPr>
        <w:t>El backend expone 6 endpoints REST sobre FastAPI, agrupados en /docs (Swagger) bajo 3 tags: Sistema, Analisis y Cache. Todos menos / y /health estan detras de require_api_key (header X-API-Key); /predict y /analyze-content ademas estan sujetos a rate limiting (30 solicitudes / 60s por IP).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9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79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62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79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 limit</w:t>
            </w:r>
          </w:p>
        </w:tc>
        <w:tc>
          <w:tcPr>
            <w:tcW w:type="dxa" w:w="351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17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51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Sanity check de la raiz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/health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51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Liveness check (usado por la extension y el HEALTHCHECK de Docker)</w:t>
            </w:r>
          </w:p>
        </w:tc>
      </w:tr>
      <w:tr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17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/predict</w:t>
            </w:r>
          </w:p>
        </w:tc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Analisis</w:t>
            </w:r>
          </w:p>
        </w:tc>
        <w:tc>
          <w:tcPr>
            <w:tcW w:type="dxa" w:w="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351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Pipeline completo de analisis de URL (WHOIS, HTML, 3 APIs, 3 modelos ML)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/analyze-content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Analisis</w:t>
            </w:r>
          </w:p>
        </w:tc>
        <w:tc>
          <w:tcPr>
            <w:tcW w:type="dxa" w:w="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351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Clasificacion de texto libre REAL/FAKE</w:t>
            </w:r>
          </w:p>
        </w:tc>
      </w:tr>
      <w:tr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17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/cache/stats</w:t>
            </w:r>
          </w:p>
        </w:tc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79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51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Estadisticas del cache en memoria (entries, valid, ttl, max_size)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/cache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</w:t>
            </w:r>
          </w:p>
        </w:tc>
        <w:tc>
          <w:tcPr>
            <w:tcW w:type="dxa" w:w="79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51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Evictar todos los resultados cacheados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2. Contratos de Entrada y Salida</w:t>
      </w:r>
    </w:p>
    <w:p>
      <w:pPr>
        <w:pStyle w:val="Heading2"/>
      </w:pPr>
      <w:r>
        <w:rPr>
          <w:color w:val="1565C0"/>
        </w:rPr>
        <w:t>2.1 POST /predict</w:t>
      </w:r>
    </w:p>
    <w:p>
      <w:pPr>
        <w:pStyle w:val="ListBullet"/>
        <w:ind w:left="227"/>
      </w:pPr>
      <w:r>
        <w:rPr>
          <w:sz w:val="19"/>
        </w:rPr>
        <w:t>Request: UrlRequest { url: str } — Pydantic valida que empiece con http:// o https://; si no, 422 automatico</w:t>
      </w:r>
    </w:p>
    <w:p>
      <w:pPr>
        <w:pStyle w:val="ListBullet"/>
        <w:ind w:left="227"/>
      </w:pPr>
      <w:r>
        <w:rPr>
          <w:sz w:val="19"/>
        </w:rPr>
        <w:t>response_model=PredictResponse (backend/app/schemas/response_schema.py): tipa el top-level; los sub-diccionarios (risk_assessment, machine_learning, html_analysis, etc.) quedan como dict abierto a proposito, porque cada senal puede degradarse a {"error": "..."} si su sub-servicio falla — tiparlos de forma estricta rompería la respuesta ante cualquier fallo parcial de un proveedor externo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// Request</w:t>
        <w:br/>
        <w:t>{ "url": "https://ejemplo.com" }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// Response 200 (forma real, capturada en tests/test_api.py)</w:t>
        <w:br/>
        <w:t>{</w:t>
        <w:br/>
        <w:t xml:space="preserve">  "url": "https://ejemplo.com",</w:t>
        <w:br/>
        <w:t xml:space="preserve">  "risk_assessment": { "risk": "LOW", "confidence": 90, "score": 90, "reasons": [...] },</w:t>
        <w:br/>
        <w:t xml:space="preserve">  "machine_learning": {</w:t>
        <w:br/>
        <w:t xml:space="preserve">    "fusion":        { "prediction": 0, "phishing_probability": 0.12, "legitimate_probability": 0.88, "rf_weight": 0.4, "roberta_weight": 0.6 },</w:t>
        <w:br/>
        <w:t xml:space="preserve">    "random_forest": { "prediction": 0, "phishing_probability": 0.13, "legitimate_probability": 0.87 },</w:t>
        <w:br/>
        <w:t xml:space="preserve">    "roberta":       { "prediction": 1, "phishing_probability": 0.11, "legitimate_probability": 0.89 }</w:t>
        <w:br/>
        <w:t xml:space="preserve">  },</w:t>
        <w:br/>
        <w:t xml:space="preserve">  "html_analysis": { "success": true, "html_features": {...} },</w:t>
        <w:br/>
        <w:t xml:space="preserve">  "url_features":  { "has_https": true, "url_length": 22, "num_dots": 2, "has_ip": false },</w:t>
        <w:br/>
        <w:t xml:space="preserve">  "domain_info":   { "domain": "ejemplo.com", "tld": "com", "domain_age_days": 10000 },</w:t>
        <w:br/>
        <w:t xml:space="preserve">  "cached": false,</w:t>
        <w:br/>
        <w:t xml:space="preserve">  "analysis_time_ms": 1847,</w:t>
        <w:br/>
        <w:t xml:space="preserve">  "virustotal": { "verdict": "clean" },</w:t>
        <w:br/>
        <w:t xml:space="preserve">  "safe_browsing": { "is_threat": false },</w:t>
        <w:br/>
        <w:t xml:space="preserve">  "fact_check": { "verdict": "reliable" },</w:t>
        <w:br/>
        <w:t xml:space="preserve">  "content_classification": null</w:t>
        <w:br/>
        <w:t>}</w:t>
      </w:r>
    </w:p>
    <w:p>
      <w:pPr>
        <w:pStyle w:val="ListBullet"/>
        <w:ind w:left="227"/>
      </w:pPr>
      <w:r>
        <w:rPr>
          <w:sz w:val="19"/>
        </w:rPr>
        <w:t>Errores: 422 si falta url o el body es invalido; 403 si falta/es invalido X-API-Key (con API_KEY configurada); 429 si se excede el rate limit</w:t>
      </w:r>
    </w:p>
    <w:p/>
    <w:p>
      <w:pPr>
        <w:pStyle w:val="Heading2"/>
      </w:pPr>
      <w:r>
        <w:rPr>
          <w:color w:val="1565C0"/>
        </w:rPr>
        <w:t>2.2 POST /analyze-content</w:t>
      </w:r>
    </w:p>
    <w:p>
      <w:pPr>
        <w:pStyle w:val="ListBullet"/>
        <w:ind w:left="227"/>
      </w:pPr>
      <w:r>
        <w:rPr>
          <w:sz w:val="19"/>
        </w:rPr>
        <w:t>Request: TextRequest { text: str } — el campo ahora documenta el umbral de 300 caracteres via Field(description=...); la validacion en si sigue viviendo en ContentClassifierService, no en el schema (es una decision de negocio, no de formato, para no romper el flujo actual)</w:t>
      </w:r>
    </w:p>
    <w:p>
      <w:pPr>
        <w:pStyle w:val="ListBullet"/>
        <w:ind w:left="227"/>
      </w:pPr>
      <w:r>
        <w:rPr>
          <w:sz w:val="19"/>
        </w:rPr>
        <w:t>response_model=ContentAnalysisResponse: todos los campos son opcionales porque el endpoint tiene 3 formas de respuesta validas (clasificado / no_content / error)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// Request</w:t>
        <w:br/>
        <w:t>{ "text": "..." }  // &gt;= 300 caracteres para ser clasificado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// Response 200 — texto largo</w:t>
        <w:br/>
        <w:t>{ "verdict": "real", "label": "REAL", "confidence": 0.93, "raw_label": "REAL" }</w:t>
        <w:br/>
        <w:br/>
        <w:t>// Response 200 — texto corto (&lt; 300 chars), no se clasifica</w:t>
        <w:br/>
        <w:t>{ "verdict": "no_content", "label": "UNKNOWN", "confidence": 0.0 }</w:t>
      </w:r>
    </w:p>
    <w:p/>
    <w:p>
      <w:pPr>
        <w:pStyle w:val="Heading2"/>
      </w:pPr>
      <w:r>
        <w:rPr>
          <w:color w:val="1565C0"/>
        </w:rPr>
        <w:t>2.3 GET /health, GET /, GET /cache/stats, DELETE /cache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GET /health         -&gt; { "status": "healthy" }</w:t>
        <w:br/>
        <w:t>GET /               -&gt; { "message": "AI Phishing Detector Running" }</w:t>
        <w:br/>
        <w:t>GET /cache/stats     -&gt; { "entries": N, "valid": N, "ttl_seconds": 600, "max_size": 500 }</w:t>
        <w:br/>
        <w:t>DELETE /cache        -&gt; { "cleared": N }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Seguridad y Control de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5953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Implementacion</w:t>
            </w:r>
          </w:p>
        </w:tc>
      </w:tr>
      <w:tr>
        <w:tc>
          <w:tcPr>
            <w:tcW w:type="dxa" w:w="19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Autenticacion</w:t>
            </w:r>
          </w:p>
        </w:tc>
        <w:tc>
          <w:tcPr>
            <w:tcW w:type="dxa" w:w="5953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Header X-API-Key, verificado por require_api_key (dependency de FastAPI aplicada a todo el router). Si API_KEY esta vacio en .env, la verificacion es no-op (documentado, no accidental)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Rate limiting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RateLimitMiddleware: 30 solicitudes / 60s por IP, solo sobre /predict y /analyze-content; responde 429 con header Retry-After: 60</w:t>
            </w:r>
          </w:p>
        </w:tc>
      </w:tr>
      <w:tr>
        <w:tc>
          <w:tcPr>
            <w:tcW w:type="dxa" w:w="19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CORS</w:t>
            </w:r>
          </w:p>
        </w:tc>
        <w:tc>
          <w:tcPr>
            <w:tcW w:type="dxa" w:w="5953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allow_origin_regex acepta chrome-extension://* (32 chars), localhost/127.0.0.1, y origenes extra via ALLOWED_ORIGINS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Logging de requests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RequestLoggingMiddleware registra metodo, path, status, latencia e IP de cada solicitud (incluye las bloqueadas por rate limit)</w:t>
            </w:r>
          </w:p>
        </w:tc>
      </w:tr>
      <w:tr>
        <w:tc>
          <w:tcPr>
            <w:tcW w:type="dxa" w:w="19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Fail-fast en produccion</w:t>
            </w:r>
          </w:p>
        </w:tc>
        <w:tc>
          <w:tcPr>
            <w:tcW w:type="dxa" w:w="5953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 ENVIRONMENT=production y API_KEY esta vacio, el backend rehusa arrancar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4. Testeabilidad</w:t>
      </w:r>
    </w:p>
    <w:p>
      <w:r>
        <w:rPr>
          <w:sz w:val="19"/>
        </w:rPr>
        <w:t>Los endpoints se prueban con FastAPI TestClient, sin depender de red ni modelos reales (model loaders y servicios externos se mockean via conftest.py y unittest.mock.patch).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7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 de tests</w:t>
            </w:r>
          </w:p>
        </w:tc>
        <w:tc>
          <w:tcPr>
            <w:tcW w:type="dxa" w:w="334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Casos cubiertos</w:t>
            </w:r>
          </w:p>
        </w:tc>
        <w:tc>
          <w:tcPr>
            <w:tcW w:type="dxa" w:w="85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 tests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/health, GET /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tests/test_api.py</w:t>
            </w:r>
          </w:p>
        </w:tc>
        <w:tc>
          <w:tcPr>
            <w:tcW w:type="dxa" w:w="334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Status 200, forma de la respuesta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/predict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tests/test_api.py</w:t>
            </w:r>
          </w:p>
        </w:tc>
        <w:tc>
          <w:tcPr>
            <w:tcW w:type="dxa" w:w="334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Validacion 422 (sin url, body invalido, sin body); 200 con mock de PhishingService; estructura completa de risk_assessment/machine_learning/virustotal/safe_browsing/fact_check; escenario seguro vs phishing; eco de la url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12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/analyze-content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tests/test_content_api.py</w:t>
            </w:r>
          </w:p>
        </w:tc>
        <w:tc>
          <w:tcPr>
            <w:tcW w:type="dxa" w:w="334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Validacion 422 (sin text, campo incorrecto, sin body); clasificacion REAL/FAKE mockeada; umbral de 300 caracteres (limites 50/299/300); propagacion de errores del servicio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/cache/stats, DELETE /cache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334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Status 200 y forma de la respuesta para ambos endpoints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require_api_key (403)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334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403 sin header X-API-Key y con key invalida cuando API_KEY esta configurada; 200 con la key correcta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RateLimitMiddleware (429)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334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200 hasta el limite (30), 429 + header Retry-After al superarlo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sz w:val="19"/>
        </w:rPr>
        <w:t xml:space="preserve">Total suite del proyecto: </w:t>
      </w:r>
      <w:r>
        <w:rPr>
          <w:sz w:val="19"/>
        </w:rPr>
        <w:t>265 tests, 265 aprobados (pytest.ini: testpaths = tests backend/tests).</w:t>
      </w:r>
    </w:p>
    <w:p/>
    <w:p>
      <w:r>
        <w:rPr>
          <w:b/>
          <w:sz w:val="19"/>
        </w:rPr>
        <w:t xml:space="preserve">Nota de diseno de tests: </w:t>
      </w:r>
      <w:r>
        <w:rPr>
          <w:sz w:val="19"/>
        </w:rPr>
        <w:t>RateLimitMiddleware cuenta solicitudes por IP, no por endpoint — un fixture autouse en tests/conftest.py resetea ese contador global antes de cada test para que la suite no dependa del orden de ejecucion de los archivos.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Estado de las Recomendaciones</w:t>
      </w:r>
    </w:p>
    <w:p>
      <w:r>
        <w:rPr>
          <w:sz w:val="19"/>
        </w:rPr>
        <w:t>Las brechas identificadas en la version anterior de este informe fueron implementadas y verificadas contra la suite de tests.</w:t>
      </w:r>
    </w:p>
    <w:p/>
    <w:p>
      <w:pPr>
        <w:pStyle w:val="Heading2"/>
      </w:pPr>
      <w:r>
        <w:rPr>
          <w:color w:val="2E7D32"/>
        </w:rPr>
        <w:t>5.1 Claridad de la API (OpenAPI / Swagger) — implementado</w:t>
      </w:r>
    </w:p>
    <w:p>
      <w:pPr>
        <w:pStyle w:val="ListBullet"/>
        <w:ind w:left="227"/>
      </w:pPr>
      <w:r>
        <w:rPr>
          <w:sz w:val="19"/>
        </w:rPr>
        <w:t>response_model en los 6 endpoints (backend/app/schemas/response_schema.py: PredictResponse, ContentAnalysisResponse, CacheStatsResponse, CacheClearResponse, HealthResponse, RootResponse)</w:t>
      </w:r>
    </w:p>
    <w:p>
      <w:pPr>
        <w:pStyle w:val="ListBullet"/>
        <w:ind w:left="227"/>
      </w:pPr>
      <w:r>
        <w:rPr>
          <w:sz w:val="19"/>
        </w:rPr>
        <w:t>tags=["Sistema" | "Analisis" | "Cache"] en cada ruta, mas descripcion de cada tag via openapi_tags en el FastAPI(...) de main.py</w:t>
      </w:r>
    </w:p>
    <w:p>
      <w:pPr>
        <w:pStyle w:val="ListBullet"/>
        <w:ind w:left="227"/>
      </w:pPr>
      <w:r>
        <w:rPr>
          <w:sz w:val="19"/>
        </w:rPr>
        <w:t>summary y description en los 6 endpoints, visibles directamente en /docs</w:t>
      </w:r>
    </w:p>
    <w:p>
      <w:pPr>
        <w:pStyle w:val="ListBullet"/>
        <w:ind w:left="227"/>
      </w:pPr>
      <w:r>
        <w:rPr>
          <w:sz w:val="19"/>
        </w:rPr>
        <w:t>TextRequest.text y UrlRequest.url ahora tienen Field(description=...) documentando el contrato (incluido el umbral de 300 caracteres, que sigue aplicandose en el servicio, no en el schema, para no romper el comportamiento actual)</w:t>
      </w:r>
    </w:p>
    <w:p/>
    <w:p>
      <w:pPr>
        <w:pStyle w:val="Heading2"/>
      </w:pPr>
      <w:r>
        <w:rPr>
          <w:color w:val="2E7D32"/>
        </w:rPr>
        <w:t>5.2 Testeabilidad — implementado</w:t>
      </w:r>
    </w:p>
    <w:p>
      <w:pPr>
        <w:pStyle w:val="ListBullet"/>
        <w:ind w:left="227"/>
      </w:pPr>
      <w:r>
        <w:rPr>
          <w:sz w:val="19"/>
        </w:rPr>
        <w:t>Nuevo archivo tests/test_cache_and_security.py: GET /cache/stats, DELETE /cache, 403 por API key ausente/invalida, 200 con key correcta, 429 por rate limit excedido</w:t>
      </w:r>
    </w:p>
    <w:p>
      <w:pPr>
        <w:pStyle w:val="ListBullet"/>
        <w:ind w:left="227"/>
      </w:pPr>
      <w:r>
        <w:rPr>
          <w:sz w:val="19"/>
        </w:rPr>
        <w:t>Efecto secundario detectado y corregido: al anadir response_model=PredictResponse, los fixtures mock_safe_response/mock_phishing_response de tests/test_api.py resultaron incompletos frente a la forma real de PhishingService.analyze() (les faltaban cached, analysis_time_ms, virustotal, safe_browsing, fact_check, content_classification) — se completaron para reflejar el contrato real</w:t>
      </w:r>
    </w:p>
    <w:p>
      <w:pPr>
        <w:pStyle w:val="ListBullet"/>
        <w:ind w:left="227"/>
      </w:pPr>
      <w:r>
        <w:rPr>
          <w:sz w:val="19"/>
        </w:rPr>
        <w:t>Efecto secundario detectado y corregido: RateLimitMiddleware comparte un contador global por IP entre /predict y /analyze-content; sumar el nuevo test de 429 exponia una condicion de carrera entre archivos de test (fallaba segun el orden de ejecucion) — se agrego un fixture autouse que resetea el contador antes de cada test</w:t>
      </w:r>
    </w:p>
    <w:p/>
    <w:p>
      <w:pPr>
        <w:pStyle w:val="Heading2"/>
      </w:pPr>
      <w:r>
        <w:rPr>
          <w:color w:val="1565C0"/>
        </w:rPr>
        <w:t>5.3 Decisiones de diseno no aplicadas literalmente</w:t>
      </w:r>
    </w:p>
    <w:p>
      <w:pPr>
        <w:pStyle w:val="ListBullet"/>
        <w:ind w:left="227"/>
      </w:pPr>
      <w:r>
        <w:rPr>
          <w:sz w:val="19"/>
        </w:rPr>
        <w:t>No se tipo cada sub-diccionario de /predict (risk_assessment, machine_learning, etc.) con sub-modelos Pydantic estrictos: cualquiera de esas senales puede degradarse a {"error": "..."} si su servicio falla (ver _safe() en phishing_service.py), y un modelo estricto habria provocado 500 (ResponseValidationError) exactamente en el escenario de degradacion elegante que el sistema esta disenado para tolerar</w:t>
      </w:r>
    </w:p>
    <w:p>
      <w:pPr>
        <w:pStyle w:val="ListBullet"/>
        <w:ind w:left="227"/>
      </w:pPr>
      <w:r>
        <w:rPr>
          <w:sz w:val="19"/>
        </w:rPr>
        <w:t>MLPredictionResponse (backend/app/schemas/ml_response.py) se dejo intacto: sigue sin usarse en ningun endpoint por la misma razon; no se elimino porque no fue parte del alcance solicitado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API Inteligente: Endpoints Claros y Testeables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