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496"/>
          <w:sz w:val="40"/>
          <w:szCs w:val="40"/>
        </w:rPr>
        <w:t xml:space="preserve">Performance Management System</w:t>
      </w:r>
    </w:p>
    <w:p>
      <w:pPr>
        <w:spacing w:after="240"/>
      </w:pPr>
      <w:r>
        <w:rPr>
          <w:rFonts w:ascii="Calibri" w:cs="Calibri" w:eastAsia="Calibri" w:hAnsi="Calibri"/>
          <w:color w:val="595959"/>
          <w:sz w:val="28"/>
          <w:szCs w:val="28"/>
        </w:rPr>
        <w:t xml:space="preserve">Requirements review and open questions</w:t>
      </w:r>
    </w:p>
    <w:p>
      <w:pPr>
        <w:spacing w:after="40" w:line="276"/>
      </w:pPr>
      <w:r>
        <w:rPr>
          <w:rFonts w:ascii="Calibri" w:cs="Calibri" w:eastAsia="Calibri" w:hAnsi="Calibri"/>
          <w:sz w:val="22"/>
          <w:szCs w:val="22"/>
        </w:rPr>
        <w:t xml:space="preserve">Prepared in response to the performance management requirements (5 pages) received </w:t>
      </w:r>
      <w:r>
        <w:rPr>
          <w:rFonts w:ascii="Calibri" w:cs="Calibri" w:eastAsia="Calibri" w:hAnsi="Calibri"/>
          <w:b/>
          <w:bCs/>
          <w:sz w:val="22"/>
          <w:szCs w:val="22"/>
        </w:rPr>
        <w:t xml:space="preserve">20 August 2026</w:t>
      </w:r>
      <w:r>
        <w:rPr>
          <w:rFonts w:ascii="Calibri" w:cs="Calibri" w:eastAsia="Calibri" w:hAnsi="Calibri"/>
          <w:sz w:val="22"/>
          <w:szCs w:val="22"/>
        </w:rPr>
        <w:t xml:space="preserve">.</w:t>
      </w:r>
    </w:p>
    <w:p>
      <w:pPr>
        <w:spacing w:after="200" w:line="276"/>
      </w:pPr>
      <w:r>
        <w:rPr>
          <w:rFonts w:ascii="Calibri" w:cs="Calibri" w:eastAsia="Calibri" w:hAnsi="Calibri"/>
          <w:i/>
          <w:iCs/>
          <w:color w:val="595959"/>
          <w:sz w:val="22"/>
          <w:szCs w:val="22"/>
        </w:rPr>
        <w:t xml:space="preserve">Page references throughout refer to the page numbering of that document.</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1.  Purpose of this document</w:t>
      </w:r>
    </w:p>
    <w:p>
      <w:pPr>
        <w:spacing w:after="120" w:line="276"/>
      </w:pPr>
      <w:r>
        <w:rPr>
          <w:rFonts w:ascii="Calibri" w:cs="Calibri" w:eastAsia="Calibri" w:hAnsi="Calibri"/>
          <w:sz w:val="22"/>
          <w:szCs w:val="22"/>
        </w:rPr>
        <w:t xml:space="preserve">We have gone through the requirements in detail and mapped every item against what the system does today. This document covers two things: how we have read the requirements, and the points we cannot resolve without your input.</w:t>
      </w:r>
    </w:p>
    <w:p>
      <w:pPr>
        <w:spacing w:after="120" w:line="276"/>
      </w:pPr>
      <w:r>
        <w:rPr>
          <w:rFonts w:ascii="Calibri" w:cs="Calibri" w:eastAsia="Calibri" w:hAnsi="Calibri"/>
          <w:sz w:val="22"/>
          <w:szCs w:val="22"/>
        </w:rPr>
        <w:t xml:space="preserve">The ten questions in section 5 are genuine blockers rather than clarifications for their own sake. Five of them stop work outright — we would be guessing, and a wrong guess about scoring is not a small correction later; it means rebuilding the part of the system everything else depends on.</w:t>
      </w:r>
    </w:p>
    <w:p>
      <w:pPr>
        <w:pStyle w:val="Heading1"/>
        <w:spacing w:after="160" w:before="360"/>
      </w:pPr>
      <w:r>
        <w:rPr>
          <w:rFonts w:ascii="Calibri" w:cs="Calibri" w:eastAsia="Calibri" w:hAnsi="Calibri"/>
          <w:b/>
          <w:bCs/>
          <w:color w:val="2F5496"/>
          <w:sz w:val="30"/>
          <w:szCs w:val="30"/>
        </w:rPr>
        <w:t xml:space="preserve">2.  How we have read your requirements</w:t>
      </w:r>
    </w:p>
    <w:p>
      <w:pPr>
        <w:spacing w:after="120" w:line="276"/>
      </w:pPr>
      <w:r>
        <w:rPr>
          <w:rFonts w:ascii="Calibri" w:cs="Calibri" w:eastAsia="Calibri" w:hAnsi="Calibri"/>
          <w:sz w:val="22"/>
          <w:szCs w:val="22"/>
        </w:rPr>
        <w:t xml:space="preserve">Two points of interpretation are worth confirming early, because everything else follows from them.</w:t>
      </w:r>
    </w:p>
    <w:p>
      <w:pPr>
        <w:pStyle w:val="Heading2"/>
        <w:spacing w:after="120" w:before="280"/>
      </w:pPr>
      <w:r>
        <w:rPr>
          <w:rFonts w:ascii="Calibri" w:cs="Calibri" w:eastAsia="Calibri" w:hAnsi="Calibri"/>
          <w:b/>
          <w:bCs/>
          <w:color w:val="2F5496"/>
          <w:sz w:val="25"/>
          <w:szCs w:val="25"/>
        </w:rPr>
        <w:t xml:space="preserve">Two scoring models, not one</w:t>
      </w:r>
    </w:p>
    <w:p>
      <w:pPr>
        <w:spacing w:after="120" w:line="276"/>
      </w:pPr>
      <w:r>
        <w:rPr>
          <w:rFonts w:ascii="Calibri" w:cs="Calibri" w:eastAsia="Calibri" w:hAnsi="Calibri"/>
          <w:sz w:val="22"/>
          <w:szCs w:val="22"/>
        </w:rPr>
        <w:t xml:space="preserve">The requirements describe two different ways of arriving at a score, and we have planned for both to exist side by side:</w:t>
      </w:r>
    </w:p>
    <w:p>
      <w:pPr>
        <w:pStyle w:val="ListParagraph"/>
        <w:numPr>
          <w:ilvl w:val="0"/>
          <w:numId w:val="2"/>
        </w:numPr>
        <w:spacing w:after="80" w:line="276"/>
      </w:pPr>
      <w:r>
        <w:rPr>
          <w:rFonts w:ascii="Calibri" w:cs="Calibri" w:eastAsia="Calibri" w:hAnsi="Calibri"/>
          <w:sz w:val="22"/>
          <w:szCs w:val="22"/>
        </w:rPr>
        <w:t xml:space="preserve">Probationary, Annual and Semi-annual evaluations use the 100-point default template on page 3 — Part 1 Performance (60 or 70 points depending on classification) plus Part 2 Attendance &amp; Demeanor (40 or 30).</w:t>
      </w:r>
    </w:p>
    <w:p>
      <w:pPr>
        <w:pStyle w:val="ListParagraph"/>
        <w:numPr>
          <w:ilvl w:val="0"/>
          <w:numId w:val="2"/>
        </w:numPr>
        <w:spacing w:after="80" w:line="276"/>
      </w:pPr>
      <w:r>
        <w:rPr>
          <w:rFonts w:ascii="Calibri" w:cs="Calibri" w:eastAsia="Calibri" w:hAnsi="Calibri"/>
          <w:sz w:val="22"/>
          <w:szCs w:val="22"/>
        </w:rPr>
        <w:t xml:space="preserve">KPI evaluations use the model on page 1 — 40 Performance + 30 Attendance + 30 Peer Review.</w:t>
      </w:r>
    </w:p>
    <w:p>
      <w:pPr>
        <w:spacing w:after="200" w:line="276"/>
      </w:pPr>
      <w:r>
        <w:rPr>
          <w:rFonts w:ascii="Calibri" w:cs="Calibri" w:eastAsia="Calibri" w:hAnsi="Calibri"/>
          <w:sz w:val="22"/>
          <w:szCs w:val="22"/>
        </w:rPr>
        <w:t xml:space="preserve">If a single model was intended, it is far better to know now than after both have been built.</w:t>
      </w:r>
    </w:p>
    <w:p>
      <w:pPr>
        <w:pStyle w:val="Heading2"/>
        <w:spacing w:after="120" w:before="280"/>
      </w:pPr>
      <w:r>
        <w:rPr>
          <w:rFonts w:ascii="Calibri" w:cs="Calibri" w:eastAsia="Calibri" w:hAnsi="Calibri"/>
          <w:b/>
          <w:bCs/>
          <w:color w:val="2F5496"/>
          <w:sz w:val="25"/>
          <w:szCs w:val="25"/>
        </w:rPr>
        <w:t xml:space="preserve">Five evaluation types, one underlying mechanism</w:t>
      </w:r>
    </w:p>
    <w:p>
      <w:pPr>
        <w:spacing w:after="120" w:line="276"/>
      </w:pPr>
      <w:r>
        <w:rPr>
          <w:rFonts w:ascii="Calibri" w:cs="Calibri" w:eastAsia="Calibri" w:hAnsi="Calibri"/>
          <w:sz w:val="22"/>
          <w:szCs w:val="22"/>
        </w:rPr>
        <w:t xml:space="preserve">Types I to V are not five separate features. They are one evaluation definition — type, scoring model, period, participants, and whether results are averaged — configured five ways. Building them as one mechanism means a sixth type later is a configuration change rather than a development project.</w:t>
      </w:r>
    </w:p>
    <w:p>
      <w:pPr>
        <w:pStyle w:val="Heading1"/>
        <w:spacing w:after="160" w:before="360"/>
      </w:pPr>
      <w:r>
        <w:rPr>
          <w:rFonts w:ascii="Calibri" w:cs="Calibri" w:eastAsia="Calibri" w:hAnsi="Calibri"/>
          <w:b/>
          <w:bCs/>
          <w:color w:val="2F5496"/>
          <w:sz w:val="30"/>
          <w:szCs w:val="30"/>
        </w:rPr>
        <w:t xml:space="preserve">3.  What we verified</w:t>
      </w:r>
    </w:p>
    <w:p>
      <w:pPr>
        <w:spacing w:after="120" w:line="276"/>
      </w:pPr>
      <w:r>
        <w:rPr>
          <w:rFonts w:ascii="Calibri" w:cs="Calibri" w:eastAsia="Calibri" w:hAnsi="Calibri"/>
          <w:sz w:val="22"/>
          <w:szCs w:val="22"/>
        </w:rPr>
        <w:t xml:space="preserve">Your point tables are internally consistent, which tells us the numbers are settled and should be implemented exactly as written. We checked:</w:t>
      </w:r>
    </w:p>
    <w:p>
      <w:pPr>
        <w:pStyle w:val="ListParagraph"/>
        <w:numPr>
          <w:ilvl w:val="0"/>
          <w:numId w:val="2"/>
        </w:numPr>
        <w:spacing w:after="80" w:line="276"/>
      </w:pPr>
      <w:r>
        <w:rPr>
          <w:rFonts w:ascii="Calibri" w:cs="Calibri" w:eastAsia="Calibri" w:hAnsi="Calibri"/>
          <w:sz w:val="22"/>
          <w:szCs w:val="22"/>
        </w:rPr>
        <w:t xml:space="preserve">Page 3, Technical / Ops / Field: Part 1 (10+15+15+10+20 = 70) plus Part 2 (10+5+5+10 = 30) totals 100.</w:t>
      </w:r>
    </w:p>
    <w:p>
      <w:pPr>
        <w:pStyle w:val="ListParagraph"/>
        <w:numPr>
          <w:ilvl w:val="0"/>
          <w:numId w:val="2"/>
        </w:numPr>
        <w:spacing w:after="80" w:line="276"/>
      </w:pPr>
      <w:r>
        <w:rPr>
          <w:rFonts w:ascii="Calibri" w:cs="Calibri" w:eastAsia="Calibri" w:hAnsi="Calibri"/>
          <w:sz w:val="22"/>
          <w:szCs w:val="22"/>
        </w:rPr>
        <w:t xml:space="preserve">Page 3, Admin: Part 1 (10+10+10+10+20 = 60) plus Part 2 (10+10+10+10 = 40) totals 100.</w:t>
      </w:r>
    </w:p>
    <w:p>
      <w:pPr>
        <w:pStyle w:val="ListParagraph"/>
        <w:numPr>
          <w:ilvl w:val="0"/>
          <w:numId w:val="2"/>
        </w:numPr>
        <w:spacing w:after="80" w:line="276"/>
      </w:pPr>
      <w:r>
        <w:rPr>
          <w:rFonts w:ascii="Calibri" w:cs="Calibri" w:eastAsia="Calibri" w:hAnsi="Calibri"/>
          <w:sz w:val="22"/>
          <w:szCs w:val="22"/>
        </w:rPr>
        <w:t xml:space="preserve">Page 2, Peer review: 5+5+5+10+5 totals 30, matching the 30-point peer component on page 1 exactly.</w:t>
      </w:r>
    </w:p>
    <w:p>
      <w:pPr>
        <w:pStyle w:val="Heading1"/>
        <w:spacing w:after="160" w:before="360"/>
      </w:pPr>
      <w:r>
        <w:rPr>
          <w:rFonts w:ascii="Calibri" w:cs="Calibri" w:eastAsia="Calibri" w:hAnsi="Calibri"/>
          <w:b/>
          <w:bCs/>
          <w:color w:val="2F5496"/>
          <w:sz w:val="30"/>
          <w:szCs w:val="30"/>
        </w:rPr>
        <w:t xml:space="preserve">4.  Where the system stands against the requirements</w:t>
      </w:r>
    </w:p>
    <w:p>
      <w:pPr>
        <w:spacing w:after="120" w:line="276"/>
      </w:pPr>
      <w:r>
        <w:rPr>
          <w:rFonts w:ascii="Calibri" w:cs="Calibri" w:eastAsia="Calibri" w:hAnsi="Calibri"/>
          <w:sz w:val="22"/>
          <w:szCs w:val="22"/>
        </w:rPr>
        <w:t xml:space="preserve">A summary of the mapping. "In place" means the requirement is met by something already built and tested; "extension" means the foundation exists and needs adding to; "new" means it does not exist today.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1500"/>
        <w:gridCol w:w="4660"/>
      </w:tblGrid>
      <w:tr>
        <w:trPr>
          <w:tblHeader/>
        </w:trPr>
        <w:tc>
          <w:tcPr>
            <w:tcW w:type="dxa" w:w="32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Requirement area</w:t>
            </w:r>
          </w:p>
        </w:tc>
        <w:tc>
          <w:tcPr>
            <w:tcW w:type="dxa" w:w="15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Status</w:t>
            </w:r>
          </w:p>
        </w:tc>
        <w:tc>
          <w:tcPr>
            <w:tcW w:type="dxa" w:w="46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Notes</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Goal and target setting, KPI library</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Weighted goals, periodic check-ins, escalation when progress slips</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Competency library</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Versioned; your four classifications (Admin, Technical, Ops, Field) to be added</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Evaluation forms and templates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Form builder with versioning and prepared formats; point scoring to be added</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Performance Improvement Plans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Plans, milestones, progress reviews, linked to evaluations</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Notifications and reminders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Email and in-app, with delivery tracking; new events to be added</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System walkthrough guide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In place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Built-in help, aware of the screen and the role; HR can publish its own content</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Division / Area / Branch structure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Extension</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The org chart already supports a hierarchy; the levels need naming</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Ranks (Associate to GM)</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Extension</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Required for the peer-review rules that depend on rank distance</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User levels and access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Extension</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Access control is in place; HCM, DH, Supervisor, RH/AH roles to be defined</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Employee evaluation history</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Partly</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All the data is captured; a single consolidated view to be built</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Reports by name, type, period, PIP</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Partly</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Analytics exist; filtered reporting to be built</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Dashboards per user level</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Partly</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HCM and Supervisor views exist; DH and Area Head views to be built</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Point-weighted scoring and incentive bands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New</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The central addition — most other items depend on it</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Evaluation types I to V</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New</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One configurable definition covering all five</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Peer review by random sampling</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New</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Distinct from the existing named feedback feature</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Attendance input from payroll</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New</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Summary figures per employee per period — see question 8</w:t>
            </w:r>
          </w:p>
        </w:tc>
      </w:tr>
      <w:tr>
        <w:trPr>
          <w:tblHeader w:val="false"/>
        </w:trPr>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Promotion programmes (MDP, Back Office)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New</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Stage tracking with the dwell times you specified</w:t>
            </w:r>
          </w:p>
        </w:tc>
      </w:tr>
    </w:tbl>
    <w:p>
      <w:pPr>
        <w:pStyle w:val="Heading1"/>
        <w:spacing w:after="160" w:before="360"/>
      </w:pPr>
      <w:r>
        <w:rPr>
          <w:rFonts w:ascii="Calibri" w:cs="Calibri" w:eastAsia="Calibri" w:hAnsi="Calibri"/>
          <w:b/>
          <w:bCs/>
          <w:color w:val="2F5496"/>
          <w:sz w:val="30"/>
          <w:szCs w:val="30"/>
        </w:rPr>
        <w:t xml:space="preserve">5.  Open questions</w:t>
      </w:r>
    </w:p>
    <w:p>
      <w:pPr>
        <w:spacing w:after="120" w:line="276"/>
      </w:pPr>
      <w:r>
        <w:rPr>
          <w:rFonts w:ascii="Calibri" w:cs="Calibri" w:eastAsia="Calibri" w:hAnsi="Calibri"/>
          <w:sz w:val="22"/>
          <w:szCs w:val="22"/>
        </w:rPr>
        <w:t xml:space="preserve">Each question below gives the page and section it comes from, and quotes the relevant line so it is easy to locate.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600"/>
        <w:gridCol w:w="3860"/>
        <w:gridCol w:w="1200"/>
        <w:gridCol w:w="3700"/>
      </w:tblGrid>
      <w:tr>
        <w:trPr>
          <w:tblHeader/>
        </w:trPr>
        <w:tc>
          <w:tcPr>
            <w:tcW w:type="dxa" w:w="6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w:t>
            </w:r>
          </w:p>
        </w:tc>
        <w:tc>
          <w:tcPr>
            <w:tcW w:type="dxa" w:w="38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Question</w:t>
            </w:r>
          </w:p>
        </w:tc>
        <w:tc>
          <w:tcPr>
            <w:tcW w:type="dxa" w:w="12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Your page</w:t>
            </w:r>
          </w:p>
        </w:tc>
        <w:tc>
          <w:tcPr>
            <w:tcW w:type="dxa" w:w="37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Section</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Q1</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Incentive bands leave 70 uncovered</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KPI — the band table</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Q2</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"80% or 30%" in the 81–90 band</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KPI — the band table</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Q3</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Score conversion cannot be reproduced</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Sample Scoring Table; "Uses score conversion"</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Q4</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Minimum peer reviewers: 2, 3 or 3–5?</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1, 2, 4</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KPI list; Peer Review; Notes for Peer Review</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Q5</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Are peer reviews anonymous?</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2 and 4</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Peer review instrument; parameter rules (not stated on either)</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Q6</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Role names and who holds them</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1, 2, 5</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General System Features; Users Interface vs Access; Rank</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Q7</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Probationary evaluation timing</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1 and 5</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Type I; Dates — Hired / Regularization</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Q8</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The attendance data feed</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1 and 3</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KPI 30-point line; Step 4c</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Q9</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Branch ranking basis</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Type II — "yearend bonuses, branch ranking"</w:t>
            </w:r>
          </w:p>
        </w:tc>
      </w:tr>
      <w:tr>
        <w:trPr>
          <w:tblHeader w:val="false"/>
        </w:trP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Q10</w:t>
            </w:r>
          </w:p>
        </w:tc>
        <w:tc>
          <w:tcPr>
            <w:tcW w:type="dxa" w:w="3860"/>
            <w:tcMar>
              <w:top w:type="dxa" w:w="80"/>
              <w:left w:type="dxa" w:w="120"/>
              <w:bottom w:type="dxa" w:w="80"/>
              <w:right w:type="dxa" w:w="120"/>
            </w:tcMar>
          </w:tcPr>
          <w:p>
            <w:pPr>
              <w:spacing w:after="0" w:line="264"/>
            </w:pPr>
            <w:r>
              <w:rPr>
                <w:rFonts w:ascii="Calibri" w:cs="Calibri" w:eastAsia="Calibri" w:hAnsi="Calibri"/>
                <w:sz w:val="20"/>
                <w:szCs w:val="20"/>
              </w:rPr>
              <w:t xml:space="preserve">Type IV evaluations — which form?</w:t>
            </w:r>
          </w:p>
        </w:tc>
        <w:tc>
          <w:tcPr>
            <w:tcW w:type="dxa" w:w="1200"/>
            <w:tcMar>
              <w:top w:type="dxa" w:w="80"/>
              <w:left w:type="dxa" w:w="120"/>
              <w:bottom w:type="dxa" w:w="80"/>
              <w:right w:type="dxa" w:w="120"/>
            </w:tcMar>
          </w:tcPr>
          <w:p>
            <w:pPr>
              <w:spacing w:after="0" w:line="264"/>
            </w:pPr>
            <w:r>
              <w:rPr>
                <w:rFonts w:ascii="Calibri" w:cs="Calibri" w:eastAsia="Calibri" w:hAnsi="Calibri"/>
                <w:sz w:val="20"/>
                <w:szCs w:val="20"/>
              </w:rPr>
              <w:t xml:space="preserve">Pages 1 and 3</w:t>
            </w:r>
          </w:p>
        </w:tc>
        <w:tc>
          <w:tcPr>
            <w:tcW w:type="dxa" w:w="3700"/>
            <w:tcMar>
              <w:top w:type="dxa" w:w="80"/>
              <w:left w:type="dxa" w:w="120"/>
              <w:bottom w:type="dxa" w:w="80"/>
              <w:right w:type="dxa" w:w="120"/>
            </w:tcMar>
          </w:tcPr>
          <w:p>
            <w:pPr>
              <w:spacing w:after="0" w:line="264"/>
            </w:pPr>
            <w:r>
              <w:rPr>
                <w:rFonts w:ascii="Calibri" w:cs="Calibri" w:eastAsia="Calibri" w:hAnsi="Calibri"/>
                <w:sz w:val="20"/>
                <w:szCs w:val="20"/>
              </w:rPr>
              <w:t xml:space="preserve">Type IV; default template heading</w:t>
            </w:r>
          </w:p>
        </w:tc>
      </w:tr>
    </w:tbl>
    <w:p>
      <w:pPr>
        <w:pStyle w:val="Heading1"/>
        <w:spacing w:after="160" w:before="360"/>
      </w:pPr>
      <w:r>
        <w:rPr>
          <w:rFonts w:ascii="Calibri" w:cs="Calibri" w:eastAsia="Calibri" w:hAnsi="Calibri"/>
          <w:b/>
          <w:bCs/>
          <w:color w:val="2F5496"/>
          <w:sz w:val="30"/>
          <w:szCs w:val="30"/>
        </w:rPr>
        <w:t xml:space="preserve">6.  Blocking — work cannot start until these are answered</w:t>
      </w:r>
    </w:p>
    <w:p>
      <w:pPr>
        <w:pStyle w:val="Heading2"/>
        <w:spacing w:after="120" w:before="280"/>
      </w:pPr>
      <w:r>
        <w:rPr>
          <w:rFonts w:ascii="Calibri" w:cs="Calibri" w:eastAsia="Calibri" w:hAnsi="Calibri"/>
          <w:b/>
          <w:bCs/>
          <w:color w:val="2F5496"/>
          <w:sz w:val="25"/>
          <w:szCs w:val="25"/>
        </w:rPr>
        <w:t xml:space="preserve">Q1.  The incentive bands leave 70 uncovered</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under KPI [basis for incentives], the band table:</w:t>
      </w:r>
    </w:p>
    <w:p>
      <w:pPr>
        <w:pBdr>
          <w:left w:val="single" w:color="BFBFBF" w:sz="12" w:space="12"/>
        </w:pBdr>
        <w:spacing w:after="0" w:before="100" w:line="276"/>
        <w:ind w:left="480"/>
      </w:pPr>
      <w:r>
        <w:rPr>
          <w:rFonts w:ascii="Calibri" w:cs="Calibri" w:eastAsia="Calibri" w:hAnsi="Calibri"/>
          <w:i/>
          <w:iCs/>
          <w:color w:val="595959"/>
          <w:sz w:val="22"/>
          <w:szCs w:val="22"/>
        </w:rPr>
        <w:t xml:space="preserve">Below 70 → Not qualified</w:t>
      </w:r>
    </w:p>
    <w:p>
      <w:pPr>
        <w:pBdr>
          <w:left w:val="single" w:color="BFBFBF" w:sz="12" w:space="12"/>
        </w:pBdr>
        <w:spacing w:after="160" w:before="0" w:line="276"/>
        <w:ind w:left="480"/>
      </w:pPr>
      <w:r>
        <w:rPr>
          <w:rFonts w:ascii="Calibri" w:cs="Calibri" w:eastAsia="Calibri" w:hAnsi="Calibri"/>
          <w:i/>
          <w:iCs/>
          <w:color w:val="595959"/>
          <w:sz w:val="22"/>
          <w:szCs w:val="22"/>
        </w:rPr>
        <w:t xml:space="preserve">71 – 80 → 20%</w:t>
      </w:r>
    </w:p>
    <w:p>
      <w:pPr>
        <w:spacing w:after="120" w:line="276"/>
      </w:pPr>
      <w:r>
        <w:rPr>
          <w:rFonts w:ascii="Calibri" w:cs="Calibri" w:eastAsia="Calibri" w:hAnsi="Calibri"/>
          <w:sz w:val="22"/>
          <w:szCs w:val="22"/>
        </w:rPr>
        <w:t xml:space="preserve">A score of exactly </w:t>
      </w:r>
      <w:r>
        <w:rPr>
          <w:rFonts w:ascii="Calibri" w:cs="Calibri" w:eastAsia="Calibri" w:hAnsi="Calibri"/>
          <w:b/>
          <w:bCs/>
          <w:sz w:val="22"/>
          <w:szCs w:val="22"/>
        </w:rPr>
        <w:t xml:space="preserve">70</w:t>
      </w:r>
      <w:r>
        <w:rPr>
          <w:rFonts w:ascii="Calibri" w:cs="Calibri" w:eastAsia="Calibri" w:hAnsi="Calibri"/>
          <w:sz w:val="22"/>
          <w:szCs w:val="22"/>
        </w:rPr>
        <w:t xml:space="preserve"> falls in neither. Should 70 be "not qualified", or the bottom of the 20% band?</w:t>
      </w:r>
    </w:p>
    <w:p>
      <w:pPr>
        <w:spacing w:after="120" w:line="276"/>
      </w:pPr>
      <w:r>
        <w:rPr>
          <w:rFonts w:ascii="Calibri" w:cs="Calibri" w:eastAsia="Calibri" w:hAnsi="Calibri"/>
          <w:i/>
          <w:iCs/>
          <w:color w:val="595959"/>
          <w:sz w:val="22"/>
          <w:szCs w:val="22"/>
        </w:rPr>
        <w:t xml:space="preserve">Scores will land on exactly 70 regularly, so the system needs a definite rule rather than a default we choose on your behalf.</w:t>
      </w:r>
    </w:p>
    <w:p>
      <w:pPr>
        <w:pStyle w:val="Heading2"/>
        <w:spacing w:after="120" w:before="280"/>
      </w:pPr>
      <w:r>
        <w:rPr>
          <w:rFonts w:ascii="Calibri" w:cs="Calibri" w:eastAsia="Calibri" w:hAnsi="Calibri"/>
          <w:b/>
          <w:bCs/>
          <w:color w:val="2F5496"/>
          <w:sz w:val="25"/>
          <w:szCs w:val="25"/>
        </w:rPr>
        <w:t xml:space="preserve">Q2.  The 81–90 band reads "80% or 30%"</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the same band table:</w:t>
      </w:r>
    </w:p>
    <w:p>
      <w:pPr>
        <w:pBdr>
          <w:left w:val="single" w:color="BFBFBF" w:sz="12" w:space="12"/>
        </w:pBdr>
        <w:spacing w:after="160" w:before="100" w:line="276"/>
        <w:ind w:left="480"/>
      </w:pPr>
      <w:r>
        <w:rPr>
          <w:rFonts w:ascii="Calibri" w:cs="Calibri" w:eastAsia="Calibri" w:hAnsi="Calibri"/>
          <w:i/>
          <w:iCs/>
          <w:color w:val="595959"/>
          <w:sz w:val="22"/>
          <w:szCs w:val="22"/>
        </w:rPr>
        <w:t xml:space="preserve">81 – 90 → 80% or 30%</w:t>
      </w:r>
    </w:p>
    <w:p>
      <w:pPr>
        <w:spacing w:after="120" w:line="276"/>
      </w:pPr>
      <w:r>
        <w:rPr>
          <w:rFonts w:ascii="Calibri" w:cs="Calibri" w:eastAsia="Calibri" w:hAnsi="Calibri"/>
          <w:sz w:val="22"/>
          <w:szCs w:val="22"/>
        </w:rPr>
        <w:t xml:space="preserve">Given that 71–80 earns 20% and 91–100 earns 50%, we read this as </w:t>
      </w:r>
      <w:r>
        <w:rPr>
          <w:rFonts w:ascii="Calibri" w:cs="Calibri" w:eastAsia="Calibri" w:hAnsi="Calibri"/>
          <w:b/>
          <w:bCs/>
          <w:sz w:val="22"/>
          <w:szCs w:val="22"/>
        </w:rPr>
        <w:t xml:space="preserve">30%</w:t>
      </w:r>
      <w:r>
        <w:rPr>
          <w:rFonts w:ascii="Calibri" w:cs="Calibri" w:eastAsia="Calibri" w:hAnsi="Calibri"/>
          <w:sz w:val="22"/>
          <w:szCs w:val="22"/>
        </w:rPr>
        <w:t xml:space="preserve"> and the "80" as a stray mark. Please confirm — if it really is 80%, the incentive curve rises from 20% to 80% and then falls to 50%, which we assume is not intended.</w:t>
      </w:r>
    </w:p>
    <w:p>
      <w:pPr>
        <w:pStyle w:val="Heading2"/>
        <w:spacing w:after="120" w:before="280"/>
      </w:pPr>
      <w:r>
        <w:rPr>
          <w:rFonts w:ascii="Calibri" w:cs="Calibri" w:eastAsia="Calibri" w:hAnsi="Calibri"/>
          <w:b/>
          <w:bCs/>
          <w:color w:val="2F5496"/>
          <w:sz w:val="25"/>
          <w:szCs w:val="25"/>
        </w:rPr>
        <w:t xml:space="preserve">Q3.  The score conversion cannot be reproduced from the sample table</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the Sample Scoring Table and the conversion note directly beneath it. This is the question that blocks the most work.</w:t>
      </w:r>
    </w:p>
    <w:p>
      <w:pPr>
        <w:spacing w:after="120" w:line="276"/>
      </w:pPr>
      <w:r>
        <w:rPr>
          <w:rFonts w:ascii="Calibri" w:cs="Calibri" w:eastAsia="Calibri" w:hAnsi="Calibri"/>
          <w:sz w:val="22"/>
          <w:szCs w:val="22"/>
        </w:rPr>
        <w:t xml:space="preserve">The table gives:</w:t>
      </w:r>
    </w:p>
    <w:p>
      <w:pPr>
        <w:pStyle w:val="ListParagraph"/>
        <w:numPr>
          <w:ilvl w:val="0"/>
          <w:numId w:val="2"/>
        </w:numPr>
        <w:spacing w:after="80" w:line="276"/>
      </w:pPr>
      <w:r>
        <w:rPr>
          <w:rFonts w:ascii="Calibri" w:cs="Calibri" w:eastAsia="Calibri" w:hAnsi="Calibri"/>
          <w:sz w:val="22"/>
          <w:szCs w:val="22"/>
        </w:rPr>
        <w:t xml:space="preserve">Weight: 1, 1.5 or 2</w:t>
      </w:r>
    </w:p>
    <w:p>
      <w:pPr>
        <w:pStyle w:val="ListParagraph"/>
        <w:numPr>
          <w:ilvl w:val="0"/>
          <w:numId w:val="2"/>
        </w:numPr>
        <w:spacing w:after="80" w:line="276"/>
      </w:pPr>
      <w:r>
        <w:rPr>
          <w:rFonts w:ascii="Calibri" w:cs="Calibri" w:eastAsia="Calibri" w:hAnsi="Calibri"/>
          <w:sz w:val="22"/>
          <w:szCs w:val="22"/>
        </w:rPr>
        <w:t xml:space="preserve">Accomplishment: 0.5 or 1</w:t>
      </w:r>
    </w:p>
    <w:p>
      <w:pPr>
        <w:pStyle w:val="ListParagraph"/>
        <w:numPr>
          <w:ilvl w:val="0"/>
          <w:numId w:val="2"/>
        </w:numPr>
        <w:spacing w:after="80" w:line="276"/>
      </w:pPr>
      <w:r>
        <w:rPr>
          <w:rFonts w:ascii="Calibri" w:cs="Calibri" w:eastAsia="Calibri" w:hAnsi="Calibri"/>
          <w:sz w:val="22"/>
          <w:szCs w:val="22"/>
        </w:rPr>
        <w:t xml:space="preserve">Score = Weight × Accomplishment, across roughly 8 competencies</w:t>
      </w:r>
    </w:p>
    <w:p>
      <w:pPr>
        <w:spacing w:after="120" w:line="276"/>
      </w:pPr>
      <w:r>
        <w:rPr>
          <w:rFonts w:ascii="Calibri" w:cs="Calibri" w:eastAsia="Calibri" w:hAnsi="Calibri"/>
          <w:sz w:val="22"/>
          <w:szCs w:val="22"/>
        </w:rPr>
        <w:t xml:space="preserve">So the highest possible raw total is </w:t>
      </w:r>
      <w:r>
        <w:rPr>
          <w:rFonts w:ascii="Calibri" w:cs="Calibri" w:eastAsia="Calibri" w:hAnsi="Calibri"/>
          <w:b/>
          <w:bCs/>
          <w:sz w:val="22"/>
          <w:szCs w:val="22"/>
        </w:rPr>
        <w:t xml:space="preserve">8 × (2 × 1) = 16</w:t>
      </w:r>
      <w:r>
        <w:rPr>
          <w:rFonts w:ascii="Calibri" w:cs="Calibri" w:eastAsia="Calibri" w:hAnsi="Calibri"/>
          <w:sz w:val="22"/>
          <w:szCs w:val="22"/>
        </w:rPr>
        <w:t xml:space="preserve">. The note then says:</w:t>
      </w:r>
    </w:p>
    <w:p>
      <w:pPr>
        <w:pBdr>
          <w:left w:val="single" w:color="BFBFBF" w:sz="12" w:space="12"/>
        </w:pBdr>
        <w:spacing w:after="0" w:before="100" w:line="276"/>
        <w:ind w:left="480"/>
      </w:pPr>
      <w:r>
        <w:rPr>
          <w:rFonts w:ascii="Calibri" w:cs="Calibri" w:eastAsia="Calibri" w:hAnsi="Calibri"/>
          <w:i/>
          <w:iCs/>
          <w:color w:val="595959"/>
          <w:sz w:val="22"/>
          <w:szCs w:val="22"/>
        </w:rPr>
        <w:t xml:space="preserve">Uses score conversion:</w:t>
      </w:r>
    </w:p>
    <w:p>
      <w:pPr>
        <w:pBdr>
          <w:left w:val="single" w:color="BFBFBF" w:sz="12" w:space="12"/>
        </w:pBdr>
        <w:spacing w:after="0" w:before="0" w:line="276"/>
        <w:ind w:left="480"/>
      </w:pPr>
      <w:r>
        <w:rPr>
          <w:rFonts w:ascii="Calibri" w:cs="Calibri" w:eastAsia="Calibri" w:hAnsi="Calibri"/>
          <w:i/>
          <w:iCs/>
          <w:color w:val="595959"/>
          <w:sz w:val="22"/>
          <w:szCs w:val="22"/>
        </w:rPr>
        <w:t xml:space="preserve">4 → for 40 max bearing</w:t>
      </w:r>
    </w:p>
    <w:p>
      <w:pPr>
        <w:pBdr>
          <w:left w:val="single" w:color="BFBFBF" w:sz="12" w:space="12"/>
        </w:pBdr>
        <w:spacing w:after="0" w:before="0" w:line="276"/>
        <w:ind w:left="480"/>
      </w:pPr>
      <w:r>
        <w:rPr>
          <w:rFonts w:ascii="Calibri" w:cs="Calibri" w:eastAsia="Calibri" w:hAnsi="Calibri"/>
          <w:i/>
          <w:iCs/>
          <w:color w:val="595959"/>
          <w:sz w:val="22"/>
          <w:szCs w:val="22"/>
        </w:rPr>
        <w:t xml:space="preserve">1.5 → for 30 max</w:t>
      </w:r>
    </w:p>
    <w:p>
      <w:pPr>
        <w:pBdr>
          <w:left w:val="single" w:color="BFBFBF" w:sz="12" w:space="12"/>
        </w:pBdr>
        <w:spacing w:after="160" w:before="0" w:line="276"/>
        <w:ind w:left="480"/>
      </w:pPr>
      <w:r>
        <w:rPr>
          <w:rFonts w:ascii="Calibri" w:cs="Calibri" w:eastAsia="Calibri" w:hAnsi="Calibri"/>
          <w:i/>
          <w:iCs/>
          <w:color w:val="595959"/>
          <w:sz w:val="22"/>
          <w:szCs w:val="22"/>
        </w:rPr>
        <w:t xml:space="preserve">1.0 → manager scoring</w:t>
      </w:r>
    </w:p>
    <w:p>
      <w:pPr>
        <w:spacing w:after="120" w:line="276"/>
      </w:pPr>
      <w:r>
        <w:rPr>
          <w:rFonts w:ascii="Calibri" w:cs="Calibri" w:eastAsia="Calibri" w:hAnsi="Calibri"/>
          <w:sz w:val="22"/>
          <w:szCs w:val="22"/>
        </w:rPr>
        <w:t xml:space="preserve">We cannot work out how a raw total of 16 becomes the 40 points of the KPI model, or what the 1.5 and 1.0 lines apply to.</w:t>
      </w:r>
    </w:p>
    <w:p>
      <w:pPr>
        <w:spacing w:after="120" w:line="276"/>
      </w:pPr>
      <w:r>
        <w:rPr>
          <w:rFonts w:ascii="Calibri" w:cs="Calibri" w:eastAsia="Calibri" w:hAnsi="Calibri"/>
          <w:b/>
          <w:bCs/>
          <w:sz w:val="22"/>
          <w:szCs w:val="22"/>
        </w:rPr>
        <w:t xml:space="preserve">What would settle it: one completed example with real numbers.</w:t>
      </w:r>
      <w:r>
        <w:rPr>
          <w:rFonts w:ascii="Calibri" w:cs="Calibri" w:eastAsia="Calibri" w:hAnsi="Calibri"/>
          <w:sz w:val="22"/>
          <w:szCs w:val="22"/>
        </w:rPr>
        <w:t xml:space="preserve"> A single employee’s actual scoring sheet — the competencies, their weights, the accomplishment values, and the resulting score out of 40 — would let us reproduce your calculation exactly.</w:t>
      </w:r>
    </w:p>
    <w:p>
      <w:pPr>
        <w:spacing w:after="120" w:line="276"/>
      </w:pPr>
      <w:r>
        <w:rPr>
          <w:rFonts w:ascii="Calibri" w:cs="Calibri" w:eastAsia="Calibri" w:hAnsi="Calibri"/>
          <w:i/>
          <w:iCs/>
          <w:color w:val="595959"/>
          <w:sz w:val="22"/>
          <w:szCs w:val="22"/>
        </w:rPr>
        <w:t xml:space="preserve">Until this is answered, the KPI evaluation type (Type V) cannot be built at all.</w:t>
      </w:r>
    </w:p>
    <w:p>
      <w:pPr>
        <w:pStyle w:val="Heading2"/>
        <w:spacing w:after="120" w:before="280"/>
      </w:pPr>
      <w:r>
        <w:rPr>
          <w:rFonts w:ascii="Calibri" w:cs="Calibri" w:eastAsia="Calibri" w:hAnsi="Calibri"/>
          <w:b/>
          <w:bCs/>
          <w:color w:val="2F5496"/>
          <w:sz w:val="25"/>
          <w:szCs w:val="25"/>
        </w:rPr>
        <w:t xml:space="preserve">Q4.  Minimum number of peer reviewers — the document gives three figures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3400"/>
        <w:gridCol w:w="4660"/>
      </w:tblGrid>
      <w:tr>
        <w:trPr>
          <w:tblHeader/>
        </w:trPr>
        <w:tc>
          <w:tcPr>
            <w:tcW w:type="dxa" w:w="13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Your page</w:t>
            </w:r>
          </w:p>
        </w:tc>
        <w:tc>
          <w:tcPr>
            <w:tcW w:type="dxa" w:w="34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Section</w:t>
            </w:r>
          </w:p>
        </w:tc>
        <w:tc>
          <w:tcPr>
            <w:tcW w:type="dxa" w:w="46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What it says</w:t>
            </w:r>
          </w:p>
        </w:tc>
      </w:tr>
      <w:tr>
        <w:trPr>
          <w:tblHeader w:val="false"/>
        </w:trPr>
        <w:tc>
          <w:tcPr>
            <w:tcW w:type="dxa" w:w="13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KPI [basis for incentives]</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"30 – Peer Review / Feedback (min. 2 personnel)"</w:t>
            </w:r>
          </w:p>
        </w:tc>
      </w:tr>
      <w:tr>
        <w:trPr>
          <w:tblHeader w:val="false"/>
        </w:trPr>
        <w:tc>
          <w:tcPr>
            <w:tcW w:type="dxa" w:w="1300"/>
            <w:tcMar>
              <w:top w:type="dxa" w:w="80"/>
              <w:left w:type="dxa" w:w="120"/>
              <w:bottom w:type="dxa" w:w="80"/>
              <w:right w:type="dxa" w:w="120"/>
            </w:tcMar>
          </w:tcPr>
          <w:p>
            <w:pPr>
              <w:spacing w:after="0" w:line="264"/>
            </w:pPr>
            <w:r>
              <w:rPr>
                <w:rFonts w:ascii="Calibri" w:cs="Calibri" w:eastAsia="Calibri" w:hAnsi="Calibri"/>
                <w:sz w:val="20"/>
                <w:szCs w:val="20"/>
              </w:rPr>
              <w:t xml:space="preserve">Page 2</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Peer Review / Eval / Feedback</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"(Averaged / min. 3 feedbacks)"</w:t>
            </w:r>
          </w:p>
        </w:tc>
      </w:tr>
      <w:tr>
        <w:trPr>
          <w:tblHeader w:val="false"/>
        </w:trPr>
        <w:tc>
          <w:tcPr>
            <w:tcW w:type="dxa" w:w="1300"/>
            <w:tcMar>
              <w:top w:type="dxa" w:w="80"/>
              <w:left w:type="dxa" w:w="120"/>
              <w:bottom w:type="dxa" w:w="80"/>
              <w:right w:type="dxa" w:w="120"/>
            </w:tcMar>
          </w:tcPr>
          <w:p>
            <w:pPr>
              <w:spacing w:after="0" w:line="264"/>
            </w:pPr>
            <w:r>
              <w:rPr>
                <w:rFonts w:ascii="Calibri" w:cs="Calibri" w:eastAsia="Calibri" w:hAnsi="Calibri"/>
                <w:sz w:val="20"/>
                <w:szCs w:val="20"/>
              </w:rPr>
              <w:t xml:space="preserve">Page 4</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Notes for Peer Review, final line</w:t>
            </w:r>
          </w:p>
        </w:tc>
        <w:tc>
          <w:tcPr>
            <w:tcW w:type="dxa" w:w="4660"/>
            <w:tcMar>
              <w:top w:type="dxa" w:w="80"/>
              <w:left w:type="dxa" w:w="120"/>
              <w:bottom w:type="dxa" w:w="80"/>
              <w:right w:type="dxa" w:w="120"/>
            </w:tcMar>
          </w:tcPr>
          <w:p>
            <w:pPr>
              <w:spacing w:after="0" w:line="264"/>
            </w:pPr>
            <w:r>
              <w:rPr>
                <w:rFonts w:ascii="Calibri" w:cs="Calibri" w:eastAsia="Calibri" w:hAnsi="Calibri"/>
                <w:sz w:val="20"/>
                <w:szCs w:val="20"/>
              </w:rPr>
              <w:t xml:space="preserve">"Target is min 3 reviews; max 5"</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We assume </w:t>
      </w:r>
      <w:r>
        <w:rPr>
          <w:rFonts w:ascii="Calibri" w:cs="Calibri" w:eastAsia="Calibri" w:hAnsi="Calibri"/>
          <w:b/>
          <w:bCs/>
          <w:sz w:val="22"/>
          <w:szCs w:val="22"/>
        </w:rPr>
        <w:t xml:space="preserve">minimum 3, maximum 5</w:t>
      </w:r>
      <w:r>
        <w:rPr>
          <w:rFonts w:ascii="Calibri" w:cs="Calibri" w:eastAsia="Calibri" w:hAnsi="Calibri"/>
          <w:sz w:val="22"/>
          <w:szCs w:val="22"/>
        </w:rPr>
        <w:t xml:space="preserve">. Please confirm.</w:t>
      </w:r>
    </w:p>
    <w:p>
      <w:pPr>
        <w:spacing w:after="120" w:line="276"/>
      </w:pPr>
      <w:r>
        <w:rPr>
          <w:rFonts w:ascii="Calibri" w:cs="Calibri" w:eastAsia="Calibri" w:hAnsi="Calibri"/>
          <w:sz w:val="22"/>
          <w:szCs w:val="22"/>
        </w:rPr>
        <w:t xml:space="preserve">A related point, from page 4: because invited reviewers may answer "no" to the six-month interaction question, the system will sometimes be unable to find three eligible people. Should it proceed with two, hold the evaluation open, or notify HCM to intervene?</w:t>
      </w:r>
    </w:p>
    <w:p>
      <w:pPr>
        <w:pStyle w:val="Heading2"/>
        <w:spacing w:after="120" w:before="280"/>
      </w:pPr>
      <w:r>
        <w:rPr>
          <w:rFonts w:ascii="Calibri" w:cs="Calibri" w:eastAsia="Calibri" w:hAnsi="Calibri"/>
          <w:b/>
          <w:bCs/>
          <w:color w:val="2F5496"/>
          <w:sz w:val="25"/>
          <w:szCs w:val="25"/>
        </w:rPr>
        <w:t xml:space="preserve">Q5.  Are peer reviews anonymous?</w:t>
      </w:r>
    </w:p>
    <w:p>
      <w:pPr>
        <w:spacing w:after="120" w:line="276"/>
      </w:pPr>
      <w:r>
        <w:rPr>
          <w:rFonts w:ascii="Calibri" w:cs="Calibri" w:eastAsia="Calibri" w:hAnsi="Calibri"/>
          <w:b/>
          <w:bCs/>
          <w:sz w:val="22"/>
          <w:szCs w:val="22"/>
        </w:rPr>
        <w:t xml:space="preserve">Pages 2 and 4</w:t>
      </w:r>
      <w:r>
        <w:rPr>
          <w:rFonts w:ascii="Calibri" w:cs="Calibri" w:eastAsia="Calibri" w:hAnsi="Calibri"/>
          <w:sz w:val="22"/>
          <w:szCs w:val="22"/>
        </w:rPr>
        <w:t xml:space="preserve"> — the peer review instrument and the parameter rules. Neither states this either way.</w:t>
      </w:r>
    </w:p>
    <w:p>
      <w:pPr>
        <w:spacing w:after="120" w:line="276"/>
      </w:pPr>
      <w:r>
        <w:rPr>
          <w:rFonts w:ascii="Calibri" w:cs="Calibri" w:eastAsia="Calibri" w:hAnsi="Calibri"/>
          <w:sz w:val="22"/>
          <w:szCs w:val="22"/>
        </w:rPr>
        <w:t xml:space="preserve">Averaging several reviews into a single score suggests anonymity is intended, but we need it stated explicitly, because it decides what the system records and who may ever see it:</w:t>
      </w:r>
    </w:p>
    <w:p>
      <w:pPr>
        <w:pStyle w:val="ListParagraph"/>
        <w:numPr>
          <w:ilvl w:val="0"/>
          <w:numId w:val="2"/>
        </w:numPr>
        <w:spacing w:after="80" w:line="276"/>
      </w:pPr>
      <w:r>
        <w:rPr>
          <w:rFonts w:ascii="Calibri" w:cs="Calibri" w:eastAsia="Calibri" w:hAnsi="Calibri"/>
          <w:sz w:val="22"/>
          <w:szCs w:val="22"/>
        </w:rPr>
        <w:t xml:space="preserve">Can the employee being reviewed see who reviewed them, or only the average?</w:t>
      </w:r>
    </w:p>
    <w:p>
      <w:pPr>
        <w:pStyle w:val="ListParagraph"/>
        <w:numPr>
          <w:ilvl w:val="0"/>
          <w:numId w:val="2"/>
        </w:numPr>
        <w:spacing w:after="80" w:line="276"/>
      </w:pPr>
      <w:r>
        <w:rPr>
          <w:rFonts w:ascii="Calibri" w:cs="Calibri" w:eastAsia="Calibri" w:hAnsi="Calibri"/>
          <w:sz w:val="22"/>
          <w:szCs w:val="22"/>
        </w:rPr>
        <w:t xml:space="preserve">Can their supervisor see individual reviewers and their scores?</w:t>
      </w:r>
    </w:p>
    <w:p>
      <w:pPr>
        <w:pStyle w:val="ListParagraph"/>
        <w:numPr>
          <w:ilvl w:val="0"/>
          <w:numId w:val="2"/>
        </w:numPr>
        <w:spacing w:after="80" w:line="276"/>
      </w:pPr>
      <w:r>
        <w:rPr>
          <w:rFonts w:ascii="Calibri" w:cs="Calibri" w:eastAsia="Calibri" w:hAnsi="Calibri"/>
          <w:sz w:val="22"/>
          <w:szCs w:val="22"/>
        </w:rPr>
        <w:t xml:space="preserve">Can HCM see them?</w:t>
      </w:r>
    </w:p>
    <w:p>
      <w:pPr>
        <w:pStyle w:val="ListParagraph"/>
        <w:numPr>
          <w:ilvl w:val="0"/>
          <w:numId w:val="2"/>
        </w:numPr>
        <w:spacing w:after="80" w:line="276"/>
      </w:pPr>
      <w:r>
        <w:rPr>
          <w:rFonts w:ascii="Calibri" w:cs="Calibri" w:eastAsia="Calibri" w:hAnsi="Calibri"/>
          <w:sz w:val="22"/>
          <w:szCs w:val="22"/>
        </w:rPr>
        <w:t xml:space="preserve">Can anyone see them later, when investigating a dispute?</w:t>
      </w:r>
    </w:p>
    <w:p>
      <w:pPr>
        <w:spacing w:after="120" w:line="276"/>
      </w:pPr>
      <w:r>
        <w:rPr>
          <w:rFonts w:ascii="Calibri" w:cs="Calibri" w:eastAsia="Calibri" w:hAnsi="Calibri"/>
          <w:sz w:val="22"/>
          <w:szCs w:val="22"/>
        </w:rPr>
        <w:t xml:space="preserve">This cannot be changed quietly afterwards. If reviews are anonymous, the system must be built so the link genuinely cannot be recovered. If they are not, that has to be visible to reviewers before they write, because it changes what people are willing to say.</w:t>
      </w:r>
    </w:p>
    <w:p>
      <w:pPr>
        <w:pStyle w:val="Heading1"/>
        <w:spacing w:after="160" w:before="360"/>
      </w:pPr>
      <w:r>
        <w:rPr>
          <w:rFonts w:ascii="Calibri" w:cs="Calibri" w:eastAsia="Calibri" w:hAnsi="Calibri"/>
          <w:b/>
          <w:bCs/>
          <w:color w:val="2F5496"/>
          <w:sz w:val="30"/>
          <w:szCs w:val="30"/>
        </w:rPr>
        <w:t xml:space="preserve">7.  Needed soon — these can be designed around, but not built</w:t>
      </w:r>
    </w:p>
    <w:p>
      <w:pPr>
        <w:pStyle w:val="Heading2"/>
        <w:spacing w:after="120" w:before="280"/>
      </w:pPr>
      <w:r>
        <w:rPr>
          <w:rFonts w:ascii="Calibri" w:cs="Calibri" w:eastAsia="Calibri" w:hAnsi="Calibri"/>
          <w:b/>
          <w:bCs/>
          <w:color w:val="2F5496"/>
          <w:sz w:val="25"/>
          <w:szCs w:val="25"/>
        </w:rPr>
        <w:t xml:space="preserve">Q6.  Confirm the roles and who holds them</w:t>
      </w:r>
    </w:p>
    <w:p>
      <w:pPr>
        <w:spacing w:after="120" w:line="276"/>
      </w:pPr>
      <w:r>
        <w:rPr>
          <w:rFonts w:ascii="Calibri" w:cs="Calibri" w:eastAsia="Calibri" w:hAnsi="Calibri"/>
          <w:sz w:val="22"/>
          <w:szCs w:val="22"/>
        </w:rPr>
        <w:t xml:space="preserve">Drawn from three places in your document:</w:t>
      </w:r>
    </w:p>
    <w:p>
      <w:pPr>
        <w:pStyle w:val="ListParagraph"/>
        <w:numPr>
          <w:ilvl w:val="0"/>
          <w:numId w:val="2"/>
        </w:numPr>
        <w:spacing w:after="80" w:line="276"/>
      </w:pPr>
      <w:r>
        <w:rPr>
          <w:rFonts w:ascii="Calibri" w:cs="Calibri" w:eastAsia="Calibri" w:hAnsi="Calibri"/>
          <w:sz w:val="22"/>
          <w:szCs w:val="22"/>
        </w:rPr>
        <w:t xml:space="preserve">Page 1, General System Features: "Dashboard features for user levels (HCM, DH, Supervisor, RH/AH)"</w:t>
      </w:r>
    </w:p>
    <w:p>
      <w:pPr>
        <w:pStyle w:val="ListParagraph"/>
        <w:numPr>
          <w:ilvl w:val="0"/>
          <w:numId w:val="2"/>
        </w:numPr>
        <w:spacing w:after="80" w:line="276"/>
      </w:pPr>
      <w:r>
        <w:rPr>
          <w:rFonts w:ascii="Calibri" w:cs="Calibri" w:eastAsia="Calibri" w:hAnsi="Calibri"/>
          <w:sz w:val="22"/>
          <w:szCs w:val="22"/>
        </w:rPr>
        <w:t xml:space="preserve">Page 2, Users Interface vs Access: "Only HCM DM &amp; CB PW can set / reset scoring parameters / fields"</w:t>
      </w:r>
    </w:p>
    <w:p>
      <w:pPr>
        <w:pStyle w:val="ListParagraph"/>
        <w:numPr>
          <w:ilvl w:val="0"/>
          <w:numId w:val="2"/>
        </w:numPr>
        <w:spacing w:after="80" w:line="276"/>
      </w:pPr>
      <w:r>
        <w:rPr>
          <w:rFonts w:ascii="Calibri" w:cs="Calibri" w:eastAsia="Calibri" w:hAnsi="Calibri"/>
          <w:sz w:val="22"/>
          <w:szCs w:val="22"/>
        </w:rPr>
        <w:t xml:space="preserve">Page 5, Rank: "Associate, Branch Head / OIC, Jr/Sr Supervisor, Dept Head, GM"</w:t>
      </w:r>
    </w:p>
    <w:p>
      <w:pPr>
        <w:spacing w:after="80" w:line="276"/>
      </w:pPr>
      <w:r>
        <w:rPr>
          <w:rFonts w:ascii="Calibri" w:cs="Calibri" w:eastAsia="Calibri" w:hAnsi="Calibri"/>
          <w:sz w:val="22"/>
          <w:szCs w:val="22"/>
        </w:rPr>
        <w:t xml:space="preserve">Our questions:</w:t>
      </w:r>
    </w:p>
    <w:p>
      <w:pPr>
        <w:pStyle w:val="ListParagraph"/>
        <w:numPr>
          <w:ilvl w:val="0"/>
          <w:numId w:val="2"/>
        </w:numPr>
        <w:spacing w:after="80" w:line="276"/>
      </w:pPr>
      <w:r>
        <w:rPr>
          <w:rFonts w:ascii="Calibri" w:cs="Calibri" w:eastAsia="Calibri" w:hAnsi="Calibri"/>
          <w:sz w:val="22"/>
          <w:szCs w:val="22"/>
        </w:rPr>
        <w:t xml:space="preserve">What do HCM DM and CB PW stand for, and are they individuals or small groups?</w:t>
      </w:r>
    </w:p>
    <w:p>
      <w:pPr>
        <w:pStyle w:val="ListParagraph"/>
        <w:numPr>
          <w:ilvl w:val="0"/>
          <w:numId w:val="2"/>
        </w:numPr>
        <w:spacing w:after="80" w:line="276"/>
      </w:pPr>
      <w:r>
        <w:rPr>
          <w:rFonts w:ascii="Calibri" w:cs="Calibri" w:eastAsia="Calibri" w:hAnsi="Calibri"/>
          <w:sz w:val="22"/>
          <w:szCs w:val="22"/>
        </w:rPr>
        <w:t xml:space="preserve">Are RH and AH the same level, or two different ones?</w:t>
      </w:r>
    </w:p>
    <w:p>
      <w:pPr>
        <w:pStyle w:val="ListParagraph"/>
        <w:numPr>
          <w:ilvl w:val="0"/>
          <w:numId w:val="2"/>
        </w:numPr>
        <w:spacing w:after="80" w:line="276"/>
      </w:pPr>
      <w:r>
        <w:rPr>
          <w:rFonts w:ascii="Calibri" w:cs="Calibri" w:eastAsia="Calibri" w:hAnsi="Calibri"/>
          <w:sz w:val="22"/>
          <w:szCs w:val="22"/>
        </w:rPr>
        <w:t xml:space="preserve">Should the GM see everything in their Division, or everything company-wide?</w:t>
      </w:r>
    </w:p>
    <w:p>
      <w:pPr>
        <w:spacing w:after="120" w:line="276"/>
      </w:pPr>
      <w:r>
        <w:rPr>
          <w:rFonts w:ascii="Calibri" w:cs="Calibri" w:eastAsia="Calibri" w:hAnsi="Calibri"/>
          <w:sz w:val="22"/>
          <w:szCs w:val="22"/>
        </w:rPr>
        <w:t xml:space="preserve">We need the full list of levels and, for each, what they can see and whose records they can see it for.</w:t>
      </w:r>
    </w:p>
    <w:p>
      <w:pPr>
        <w:pStyle w:val="Heading2"/>
        <w:spacing w:after="120" w:before="280"/>
      </w:pPr>
      <w:r>
        <w:rPr>
          <w:rFonts w:ascii="Calibri" w:cs="Calibri" w:eastAsia="Calibri" w:hAnsi="Calibri"/>
          <w:b/>
          <w:bCs/>
          <w:color w:val="2F5496"/>
          <w:sz w:val="25"/>
          <w:szCs w:val="25"/>
        </w:rPr>
        <w:t xml:space="preserve">Q7.  Probationary evaluation timing</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Type I: "Eval for probationary (3rd &amp; 4th month → averaging)", read together with </w:t>
      </w:r>
      <w:r>
        <w:rPr>
          <w:rFonts w:ascii="Calibri" w:cs="Calibri" w:eastAsia="Calibri" w:hAnsi="Calibri"/>
          <w:b/>
          <w:bCs/>
          <w:sz w:val="22"/>
          <w:szCs w:val="22"/>
        </w:rPr>
        <w:t xml:space="preserve">page 5</w:t>
      </w:r>
      <w:r>
        <w:rPr>
          <w:rFonts w:ascii="Calibri" w:cs="Calibri" w:eastAsia="Calibri" w:hAnsi="Calibri"/>
          <w:sz w:val="22"/>
          <w:szCs w:val="22"/>
        </w:rPr>
        <w:t xml:space="preserve">, Dates: "Date - Hired", "Date - Regularization".</w:t>
      </w:r>
    </w:p>
    <w:p>
      <w:pPr>
        <w:spacing w:after="120" w:line="276"/>
      </w:pPr>
      <w:r>
        <w:rPr>
          <w:rFonts w:ascii="Calibri" w:cs="Calibri" w:eastAsia="Calibri" w:hAnsi="Calibri"/>
          <w:sz w:val="22"/>
          <w:szCs w:val="22"/>
        </w:rPr>
        <w:t xml:space="preserve">Are the 3rd and 4th month measured from date hired?</w:t>
      </w:r>
    </w:p>
    <w:p>
      <w:pPr>
        <w:spacing w:after="120" w:line="276"/>
      </w:pPr>
      <w:r>
        <w:rPr>
          <w:rFonts w:ascii="Calibri" w:cs="Calibri" w:eastAsia="Calibri" w:hAnsi="Calibri"/>
          <w:sz w:val="22"/>
          <w:szCs w:val="22"/>
        </w:rPr>
        <w:t xml:space="preserve">And if regularisation moves — extended probation, or early regularisation — should the system reschedule an outstanding evaluation, or leave it on the original dates?</w:t>
      </w:r>
    </w:p>
    <w:p>
      <w:pPr>
        <w:pStyle w:val="Heading2"/>
        <w:spacing w:after="120" w:before="280"/>
      </w:pPr>
      <w:r>
        <w:rPr>
          <w:rFonts w:ascii="Calibri" w:cs="Calibri" w:eastAsia="Calibri" w:hAnsi="Calibri"/>
          <w:b/>
          <w:bCs/>
          <w:color w:val="2F5496"/>
          <w:sz w:val="25"/>
          <w:szCs w:val="25"/>
        </w:rPr>
        <w:t xml:space="preserve">Q8.  The attendance data feed</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KPI: "30 – (15 No tardiness, 15 No absences) (HCM input from Payroll system)", and </w:t>
      </w:r>
      <w:r>
        <w:rPr>
          <w:rFonts w:ascii="Calibri" w:cs="Calibri" w:eastAsia="Calibri" w:hAnsi="Calibri"/>
          <w:b/>
          <w:bCs/>
          <w:sz w:val="22"/>
          <w:szCs w:val="22"/>
        </w:rPr>
        <w:t xml:space="preserve">page 3</w:t>
      </w:r>
      <w:r>
        <w:rPr>
          <w:rFonts w:ascii="Calibri" w:cs="Calibri" w:eastAsia="Calibri" w:hAnsi="Calibri"/>
          <w:sz w:val="22"/>
          <w:szCs w:val="22"/>
        </w:rPr>
        <w:t xml:space="preserve">, Step 4c: "HCM – supplies Attendance info. (Absences, Tardiness)".</w:t>
      </w:r>
    </w:p>
    <w:p>
      <w:pPr>
        <w:pStyle w:val="ListParagraph"/>
        <w:numPr>
          <w:ilvl w:val="0"/>
          <w:numId w:val="2"/>
        </w:numPr>
        <w:spacing w:after="80" w:line="276"/>
      </w:pPr>
      <w:r>
        <w:rPr>
          <w:rFonts w:ascii="Calibri" w:cs="Calibri" w:eastAsia="Calibri" w:hAnsi="Calibri"/>
          <w:sz w:val="22"/>
          <w:szCs w:val="22"/>
        </w:rPr>
        <w:t xml:space="preserve">Which payroll system is it, and can it export on a schedule?</w:t>
      </w:r>
    </w:p>
    <w:p>
      <w:pPr>
        <w:pStyle w:val="ListParagraph"/>
        <w:numPr>
          <w:ilvl w:val="0"/>
          <w:numId w:val="2"/>
        </w:numPr>
        <w:spacing w:after="80" w:line="276"/>
      </w:pPr>
      <w:r>
        <w:rPr>
          <w:rFonts w:ascii="Calibri" w:cs="Calibri" w:eastAsia="Calibri" w:hAnsi="Calibri"/>
          <w:sz w:val="22"/>
          <w:szCs w:val="22"/>
        </w:rPr>
        <w:t xml:space="preserve">What can it provide per employee, per period: counts (for example "2 late, 1 absent"), or an already-calculated score out of 15?</w:t>
      </w:r>
    </w:p>
    <w:p>
      <w:pPr>
        <w:pStyle w:val="ListParagraph"/>
        <w:numPr>
          <w:ilvl w:val="0"/>
          <w:numId w:val="2"/>
        </w:numPr>
        <w:spacing w:after="80" w:line="276"/>
      </w:pPr>
      <w:r>
        <w:rPr>
          <w:rFonts w:ascii="Calibri" w:cs="Calibri" w:eastAsia="Calibri" w:hAnsi="Calibri"/>
          <w:sz w:val="22"/>
          <w:szCs w:val="22"/>
        </w:rPr>
        <w:t xml:space="preserve">If counts, what rule turns a count into points?</w:t>
      </w:r>
    </w:p>
    <w:p>
      <w:pPr>
        <w:spacing w:after="120" w:line="276"/>
      </w:pPr>
      <w:r>
        <w:rPr>
          <w:rFonts w:ascii="Calibri" w:cs="Calibri" w:eastAsia="Calibri" w:hAnsi="Calibri"/>
          <w:b/>
          <w:bCs/>
          <w:sz w:val="22"/>
          <w:szCs w:val="22"/>
        </w:rPr>
        <w:t xml:space="preserve">Please also confirm one point on our side. </w:t>
      </w:r>
      <w:r>
        <w:rPr>
          <w:rFonts w:ascii="Calibri" w:cs="Calibri" w:eastAsia="Calibri" w:hAnsi="Calibri"/>
          <w:sz w:val="22"/>
          <w:szCs w:val="22"/>
        </w:rPr>
        <w:t xml:space="preserve">This system deliberately holds no payroll or timekeeping data — no salaries, no TIN, SSS, PhilHealth or Pag-IBIG numbers, and no daily time records. We would therefore take only a summary figure per employee per period, never the underlying attendance records. We would like to confirm that this works on your side before we design the interface.</w:t>
      </w:r>
    </w:p>
    <w:p>
      <w:pPr>
        <w:pStyle w:val="Heading2"/>
        <w:spacing w:after="120" w:before="280"/>
      </w:pPr>
      <w:r>
        <w:rPr>
          <w:rFonts w:ascii="Calibri" w:cs="Calibri" w:eastAsia="Calibri" w:hAnsi="Calibri"/>
          <w:b/>
          <w:bCs/>
          <w:color w:val="2F5496"/>
          <w:sz w:val="25"/>
          <w:szCs w:val="25"/>
        </w:rPr>
        <w:t xml:space="preserve">Q9.  Branch ranking</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Type II: "Annual performance (yearend bonuses, branch ranking)". Ranked on what, exactly?</w:t>
      </w:r>
    </w:p>
    <w:p>
      <w:pPr>
        <w:pStyle w:val="ListParagraph"/>
        <w:numPr>
          <w:ilvl w:val="0"/>
          <w:numId w:val="2"/>
        </w:numPr>
        <w:spacing w:after="80" w:line="276"/>
      </w:pPr>
      <w:r>
        <w:rPr>
          <w:rFonts w:ascii="Calibri" w:cs="Calibri" w:eastAsia="Calibri" w:hAnsi="Calibri"/>
          <w:sz w:val="22"/>
          <w:szCs w:val="22"/>
        </w:rPr>
        <w:t xml:space="preserve">The average score of all staff in the branch?</w:t>
      </w:r>
    </w:p>
    <w:p>
      <w:pPr>
        <w:pStyle w:val="ListParagraph"/>
        <w:numPr>
          <w:ilvl w:val="0"/>
          <w:numId w:val="2"/>
        </w:numPr>
        <w:spacing w:after="80" w:line="276"/>
      </w:pPr>
      <w:r>
        <w:rPr>
          <w:rFonts w:ascii="Calibri" w:cs="Calibri" w:eastAsia="Calibri" w:hAnsi="Calibri"/>
          <w:sz w:val="22"/>
          <w:szCs w:val="22"/>
        </w:rPr>
        <w:t xml:space="preserve">Only certain roles, or weighted by rank?</w:t>
      </w:r>
    </w:p>
    <w:p>
      <w:pPr>
        <w:pStyle w:val="ListParagraph"/>
        <w:numPr>
          <w:ilvl w:val="0"/>
          <w:numId w:val="2"/>
        </w:numPr>
        <w:spacing w:after="80" w:line="276"/>
      </w:pPr>
      <w:r>
        <w:rPr>
          <w:rFonts w:ascii="Calibri" w:cs="Calibri" w:eastAsia="Calibri" w:hAnsi="Calibri"/>
          <w:sz w:val="22"/>
          <w:szCs w:val="22"/>
        </w:rPr>
        <w:t xml:space="preserve">Or a separate branch-level scorecard with its own measures?</w:t>
      </w:r>
    </w:p>
    <w:p>
      <w:pPr>
        <w:pStyle w:val="Heading2"/>
        <w:spacing w:after="120" w:before="280"/>
      </w:pPr>
      <w:r>
        <w:rPr>
          <w:rFonts w:ascii="Calibri" w:cs="Calibri" w:eastAsia="Calibri" w:hAnsi="Calibri"/>
          <w:b/>
          <w:bCs/>
          <w:color w:val="2F5496"/>
          <w:sz w:val="25"/>
          <w:szCs w:val="25"/>
        </w:rPr>
        <w:t xml:space="preserve">Q10.  Type IV (Project / Term-based) evaluations</w:t>
      </w:r>
    </w:p>
    <w:p>
      <w:pPr>
        <w:spacing w:after="120" w:line="276"/>
      </w:pPr>
      <w:r>
        <w:rPr>
          <w:rFonts w:ascii="Calibri" w:cs="Calibri" w:eastAsia="Calibri" w:hAnsi="Calibri"/>
          <w:b/>
          <w:bCs/>
          <w:sz w:val="22"/>
          <w:szCs w:val="22"/>
        </w:rPr>
        <w:t xml:space="preserve">Page 1</w:t>
      </w:r>
      <w:r>
        <w:rPr>
          <w:rFonts w:ascii="Calibri" w:cs="Calibri" w:eastAsia="Calibri" w:hAnsi="Calibri"/>
          <w:sz w:val="22"/>
          <w:szCs w:val="22"/>
        </w:rPr>
        <w:t xml:space="preserve">, Type IV: "Project / Term based (special, behavioral, corrective, promotions)" — and </w:t>
      </w:r>
      <w:r>
        <w:rPr>
          <w:rFonts w:ascii="Calibri" w:cs="Calibri" w:eastAsia="Calibri" w:hAnsi="Calibri"/>
          <w:b/>
          <w:bCs/>
          <w:sz w:val="22"/>
          <w:szCs w:val="22"/>
        </w:rPr>
        <w:t xml:space="preserve">page 3</w:t>
      </w:r>
      <w:r>
        <w:rPr>
          <w:rFonts w:ascii="Calibri" w:cs="Calibri" w:eastAsia="Calibri" w:hAnsi="Calibri"/>
          <w:sz w:val="22"/>
          <w:szCs w:val="22"/>
        </w:rPr>
        <w:t xml:space="preserve">, where the default template is headed "Eval for Probationary / Annual / Semi-Annual", which does not mention Type IV.</w:t>
      </w:r>
    </w:p>
    <w:p>
      <w:pPr>
        <w:spacing w:after="120" w:line="276"/>
      </w:pPr>
      <w:r>
        <w:rPr>
          <w:rFonts w:ascii="Calibri" w:cs="Calibri" w:eastAsia="Calibri" w:hAnsi="Calibri"/>
          <w:sz w:val="22"/>
          <w:szCs w:val="22"/>
        </w:rPr>
        <w:t xml:space="preserve">Do project and term-based evaluations use that same 100-point template, or do they get their own form?</w:t>
      </w:r>
    </w:p>
    <w:p>
      <w:pPr>
        <w:spacing w:after="120" w:line="276"/>
      </w:pPr>
      <w:r>
        <w:rPr>
          <w:rFonts w:ascii="Calibri" w:cs="Calibri" w:eastAsia="Calibri" w:hAnsi="Calibri"/>
          <w:sz w:val="22"/>
          <w:szCs w:val="22"/>
        </w:rPr>
        <w:t xml:space="preserve">We would also like to understand who triggers one, and whether the result feeds the same history and incentive calculations as the scheduled evaluations.</w:t>
      </w:r>
    </w:p>
    <w:p>
      <w:pPr>
        <w:pStyle w:val="Heading1"/>
        <w:spacing w:after="160" w:before="360"/>
      </w:pPr>
      <w:r>
        <w:rPr>
          <w:rFonts w:ascii="Calibri" w:cs="Calibri" w:eastAsia="Calibri" w:hAnsi="Calibri"/>
          <w:b/>
          <w:bCs/>
          <w:color w:val="2F5496"/>
          <w:sz w:val="30"/>
          <w:szCs w:val="30"/>
        </w:rPr>
        <w:t xml:space="preserve">8.  What we need to proceed</w:t>
      </w:r>
    </w:p>
    <w:p>
      <w:pPr>
        <w:spacing w:after="120" w:line="276"/>
      </w:pPr>
      <w:r>
        <w:rPr>
          <w:rFonts w:ascii="Calibri" w:cs="Calibri" w:eastAsia="Calibri" w:hAnsi="Calibri"/>
          <w:sz w:val="22"/>
          <w:szCs w:val="22"/>
        </w:rPr>
        <w:t xml:space="preserve">Questions 1 to 5 are the ones holding up development. Of those, question 3 — a single worked scoring example — unlocks the largest amount of work, because the scoring engine is what the evaluation types, the incentive bands and the reporting all sit on top of.</w:t>
      </w:r>
    </w:p>
    <w:p>
      <w:pPr>
        <w:spacing w:after="120" w:line="276"/>
      </w:pPr>
      <w:r>
        <w:rPr>
          <w:rFonts w:ascii="Calibri" w:cs="Calibri" w:eastAsia="Calibri" w:hAnsi="Calibri"/>
          <w:sz w:val="22"/>
          <w:szCs w:val="22"/>
        </w:rPr>
        <w:t xml:space="preserve">Questions 6 to 10 can wait a little longer, but each one gates the specific part of the system it relates to.</w:t>
      </w:r>
    </w:p>
    <w:p>
      <w:pPr>
        <w:spacing w:after="120" w:line="276"/>
      </w:pPr>
      <w:r>
        <w:rPr>
          <w:rFonts w:ascii="Calibri" w:cs="Calibri" w:eastAsia="Calibri" w:hAnsi="Calibri"/>
          <w:sz w:val="22"/>
          <w:szCs w:val="22"/>
        </w:rPr>
        <w:t xml:space="preserve">Everything else in the requirements is understood and mapped, and the foundations already in place — the organisational chart, access control, versioned forms, competencies, improvement plans, notifications and the built-in guide — carry over without rework.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 Requirements Review and Open Questions</dc:title>
  <dc:creator>HR Talent &amp; Performance System</dc:creator>
  <dc:description>Requirements cross-match and open questions</dc:description>
  <cp:lastModifiedBy>Un-named</cp:lastModifiedBy>
  <cp:revision>1</cp:revision>
  <dcterms:created xsi:type="dcterms:W3CDTF">2026-08-20T08:38:38.172Z</dcterms:created>
  <dcterms:modified xsi:type="dcterms:W3CDTF">2026-08-20T08:38:38.174Z</dcterms:modified>
</cp:coreProperties>
</file>

<file path=docProps/custom.xml><?xml version="1.0" encoding="utf-8"?>
<Properties xmlns="http://schemas.openxmlformats.org/officeDocument/2006/custom-properties" xmlns:vt="http://schemas.openxmlformats.org/officeDocument/2006/docPropsVTypes"/>
</file>