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MovCom Continuidad Septiembre 2026</w:t>
      </w:r>
    </w:p>
    <w:p>
      <w:pPr>
        <w:jc w:val="center"/>
      </w:pPr>
      <w:r>
        <w:rPr>
          <w:i/>
        </w:rPr>
        <w:t>Estado de integración, validación y acciones pendientes</w:t>
      </w:r>
    </w:p>
    <w:p>
      <w:r>
        <w:t>El MovCom ya incorpora el saldo inicial, los ingresos de etanol por unidad y los despachos que provienen de TMS. La continuidad requerida es mantener los cálculos de combustibles sin cambios y presentar el detalle de etanol en pestañas separadas por suplidor. La validación de septiembre confirma los ingresos de etanol; quedan diferencias menores de despacho que deben rastrearse por movimiento TMS.</w:t>
      </w:r>
    </w:p>
    <w:p>
      <w:pPr>
        <w:pStyle w:val="Heading1"/>
      </w:pPr>
      <w:r>
        <w:t>Alcance confirmado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c>
          <w:tcPr>
            <w:tcW w:type="dxa" w:w="223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5544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Regla aplicada</w:t>
            </w:r>
          </w:p>
        </w:tc>
        <w:tc>
          <w:tcPr>
            <w:tcW w:type="dxa" w:w="187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8"/>
              </w:rPr>
              <w:t>Saldos iniciales</w:t>
            </w:r>
          </w:p>
        </w:tc>
        <w:tc>
          <w:tcPr>
            <w:tcW w:type="dxa" w:w="5544"/>
            <w:vAlign w:val="center"/>
          </w:tcPr>
          <w:p>
            <w:r>
              <w:rPr>
                <w:sz w:val="18"/>
              </w:rPr>
              <w:t>Un registro por suplidor y producto con fecha 01 09 2026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8"/>
              </w:rPr>
              <w:t>Cargado y comparado</w:t>
            </w:r>
          </w:p>
        </w:tc>
      </w:tr>
      <w:tr>
        <w:tc>
          <w:tcPr>
            <w:tcW w:type="dxa" w:w="2232"/>
            <w:vAlign w:val="center"/>
            <w:shd w:fill="F3F7FA"/>
          </w:tcPr>
          <w:p>
            <w:r>
              <w:rPr>
                <w:sz w:val="18"/>
              </w:rPr>
              <w:t>Ingresos de etanol</w:t>
            </w:r>
          </w:p>
        </w:tc>
        <w:tc>
          <w:tcPr>
            <w:tcW w:type="dxa" w:w="5544"/>
            <w:vAlign w:val="center"/>
            <w:shd w:fill="F3F7FA"/>
          </w:tcPr>
          <w:p>
            <w:r>
              <w:rPr>
                <w:sz w:val="18"/>
              </w:rPr>
              <w:t>Solo unidades. AH es real y AI es corregido. Fecha de cada recepción y unidad correlativa MMDD</w:t>
            </w:r>
          </w:p>
        </w:tc>
        <w:tc>
          <w:tcPr>
            <w:tcW w:type="dxa" w:w="1872"/>
            <w:vAlign w:val="center"/>
            <w:shd w:fill="F3F7FA"/>
          </w:tcPr>
          <w:p>
            <w:r>
              <w:rPr>
                <w:sz w:val="18"/>
              </w:rPr>
              <w:t>Cargado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8"/>
              </w:rPr>
              <w:t>Recibos MovCom</w:t>
            </w:r>
          </w:p>
        </w:tc>
        <w:tc>
          <w:tcPr>
            <w:tcW w:type="dxa" w:w="5544"/>
            <w:vAlign w:val="center"/>
          </w:tcPr>
          <w:p>
            <w:r>
              <w:rPr>
                <w:sz w:val="18"/>
              </w:rPr>
              <w:t>Para etanol se usa AI corregido, para cuadrar el resumen del Excel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8"/>
              </w:rPr>
              <w:t>Integrado</w:t>
            </w:r>
          </w:p>
        </w:tc>
      </w:tr>
      <w:tr>
        <w:tc>
          <w:tcPr>
            <w:tcW w:type="dxa" w:w="2232"/>
            <w:vAlign w:val="center"/>
            <w:shd w:fill="F3F7FA"/>
          </w:tcPr>
          <w:p>
            <w:r>
              <w:rPr>
                <w:sz w:val="18"/>
              </w:rPr>
              <w:t>Despachos</w:t>
            </w:r>
          </w:p>
        </w:tc>
        <w:tc>
          <w:tcPr>
            <w:tcW w:type="dxa" w:w="5544"/>
            <w:vAlign w:val="center"/>
            <w:shd w:fill="F3F7FA"/>
          </w:tcPr>
          <w:p>
            <w:r>
              <w:rPr>
                <w:sz w:val="18"/>
              </w:rPr>
              <w:t>TMS usa ImporteComponente, signo, transacción 530, mapeo de producto y reglas de folio</w:t>
            </w:r>
          </w:p>
        </w:tc>
        <w:tc>
          <w:tcPr>
            <w:tcW w:type="dxa" w:w="1872"/>
            <w:vAlign w:val="center"/>
            <w:shd w:fill="F3F7FA"/>
          </w:tcPr>
          <w:p>
            <w:r>
              <w:rPr>
                <w:sz w:val="18"/>
              </w:rPr>
              <w:t>Integrado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8"/>
              </w:rPr>
              <w:t>Combustibles</w:t>
            </w:r>
          </w:p>
        </w:tc>
        <w:tc>
          <w:tcPr>
            <w:tcW w:type="dxa" w:w="5544"/>
            <w:vAlign w:val="center"/>
          </w:tcPr>
          <w:p>
            <w:r>
              <w:rPr>
                <w:sz w:val="18"/>
              </w:rPr>
              <w:t>MOGAS 95, MOGAS 91 y ULSD conservan las reglas existentes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8"/>
              </w:rPr>
              <w:t>Sin modificación</w:t>
            </w:r>
          </w:p>
        </w:tc>
      </w:tr>
    </w:tbl>
    <w:p/>
    <w:p>
      <w:pPr>
        <w:pStyle w:val="Heading1"/>
      </w:pPr>
      <w:r>
        <w:t>Validación de ingresos de etanol</w:t>
      </w:r>
    </w:p>
    <w:p>
      <w:r>
        <w:t>Los datos se tomaron de las hojas U Etanol por suplidor. AH corresponde al total real y AI al total corregido. El reporte usa AI para el recibo, igual que el resumen mensual del archivo MOVCOM.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Suplidor</w:t>
            </w:r>
          </w:p>
        </w:tc>
        <w:tc>
          <w:tcPr>
            <w:tcW w:type="dxa" w:w="165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AG Boletas</w:t>
            </w:r>
          </w:p>
        </w:tc>
        <w:tc>
          <w:tcPr>
            <w:tcW w:type="dxa" w:w="165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AH Real</w:t>
            </w:r>
          </w:p>
        </w:tc>
        <w:tc>
          <w:tcPr>
            <w:tcW w:type="dxa" w:w="187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AI Corregido</w:t>
            </w:r>
          </w:p>
        </w:tc>
        <w:tc>
          <w:tcPr>
            <w:tcW w:type="dxa" w:w="115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Registros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8"/>
              </w:rPr>
              <w:t>Chevron Guatemala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526,751.486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527,317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8"/>
              </w:rPr>
              <w:t>518,571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8"/>
              </w:rPr>
              <w:t>13</w:t>
            </w:r>
          </w:p>
        </w:tc>
      </w:tr>
      <w:tr>
        <w:tc>
          <w:tcPr>
            <w:tcW w:type="dxa" w:w="2592"/>
            <w:vAlign w:val="center"/>
            <w:shd w:fill="F3F7FA"/>
          </w:tcPr>
          <w:p>
            <w:r>
              <w:rPr>
                <w:sz w:val="18"/>
              </w:rPr>
              <w:t>Uno Fuels</w:t>
            </w:r>
          </w:p>
        </w:tc>
        <w:tc>
          <w:tcPr>
            <w:tcW w:type="dxa" w:w="1656"/>
            <w:vAlign w:val="center"/>
            <w:shd w:fill="F3F7FA"/>
          </w:tcPr>
          <w:p>
            <w:r>
              <w:rPr>
                <w:sz w:val="18"/>
              </w:rPr>
              <w:t>344,000</w:t>
            </w:r>
          </w:p>
        </w:tc>
        <w:tc>
          <w:tcPr>
            <w:tcW w:type="dxa" w:w="1656"/>
            <w:vAlign w:val="center"/>
            <w:shd w:fill="F3F7FA"/>
          </w:tcPr>
          <w:p>
            <w:r>
              <w:rPr>
                <w:sz w:val="18"/>
              </w:rPr>
              <w:t>344,330</w:t>
            </w:r>
          </w:p>
        </w:tc>
        <w:tc>
          <w:tcPr>
            <w:tcW w:type="dxa" w:w="1872"/>
            <w:vAlign w:val="center"/>
            <w:shd w:fill="F3F7FA"/>
          </w:tcPr>
          <w:p>
            <w:r>
              <w:rPr>
                <w:sz w:val="18"/>
              </w:rPr>
              <w:t>337,769</w:t>
            </w:r>
          </w:p>
        </w:tc>
        <w:tc>
          <w:tcPr>
            <w:tcW w:type="dxa" w:w="1152"/>
            <w:vAlign w:val="center"/>
            <w:shd w:fill="F3F7FA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8"/>
              </w:rPr>
              <w:t>UNO Guatemala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593,500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594,170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8"/>
              </w:rPr>
              <w:t>582,873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8"/>
              </w:rPr>
              <w:t>11</w:t>
            </w:r>
          </w:p>
        </w:tc>
      </w:tr>
    </w:tbl>
    <w:p/>
    <w:p>
      <w:pPr>
        <w:pStyle w:val="Heading1"/>
      </w:pPr>
      <w:r>
        <w:t>Revisión de despacho TMS</w:t>
      </w:r>
    </w:p>
    <w:p>
      <w:r>
        <w:t>El cálculo vigente de etanol en MovCom parte de TMS y no de los ingresos por unidad. La diferencia mostrada es pequeña, pero debe revisarse antes de considerar el cierre completamente conciliado.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3168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Suplidor</w:t>
            </w:r>
          </w:p>
        </w:tc>
        <w:tc>
          <w:tcPr>
            <w:tcW w:type="dxa" w:w="201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Excel galones</w:t>
            </w:r>
          </w:p>
        </w:tc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TMS MovCom galones</w:t>
            </w:r>
          </w:p>
        </w:tc>
        <w:tc>
          <w:tcPr>
            <w:tcW w:type="dxa" w:w="1440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Diferencia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sz w:val="18"/>
              </w:rPr>
              <w:t>UNO Guatemala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8"/>
              </w:rPr>
              <w:t>273,729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  <w:t>273,811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+82</w:t>
            </w:r>
          </w:p>
        </w:tc>
      </w:tr>
      <w:tr>
        <w:tc>
          <w:tcPr>
            <w:tcW w:type="dxa" w:w="3168"/>
            <w:vAlign w:val="center"/>
            <w:shd w:fill="F3F7FA"/>
          </w:tcPr>
          <w:p>
            <w:r>
              <w:rPr>
                <w:sz w:val="18"/>
              </w:rPr>
              <w:t>Uno Fuels</w:t>
            </w:r>
          </w:p>
        </w:tc>
        <w:tc>
          <w:tcPr>
            <w:tcW w:type="dxa" w:w="2016"/>
            <w:vAlign w:val="center"/>
            <w:shd w:fill="F3F7FA"/>
          </w:tcPr>
          <w:p>
            <w:r>
              <w:rPr>
                <w:sz w:val="18"/>
              </w:rPr>
              <w:t>84,317</w:t>
            </w:r>
          </w:p>
        </w:tc>
        <w:tc>
          <w:tcPr>
            <w:tcW w:type="dxa" w:w="2592"/>
            <w:vAlign w:val="center"/>
            <w:shd w:fill="F3F7FA"/>
          </w:tcPr>
          <w:p>
            <w:r>
              <w:rPr>
                <w:sz w:val="18"/>
              </w:rPr>
              <w:t>84,411</w:t>
            </w:r>
          </w:p>
        </w:tc>
        <w:tc>
          <w:tcPr>
            <w:tcW w:type="dxa" w:w="1440"/>
            <w:vAlign w:val="center"/>
            <w:shd w:fill="F3F7FA"/>
          </w:tcPr>
          <w:p>
            <w:r>
              <w:rPr>
                <w:sz w:val="18"/>
              </w:rPr>
              <w:t>+94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sz w:val="18"/>
              </w:rPr>
              <w:t>Chevron Guatemala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8"/>
              </w:rPr>
              <w:t>275,070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  <w:t>275,119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+49</w:t>
            </w:r>
          </w:p>
        </w:tc>
      </w:tr>
    </w:tbl>
    <w:p/>
    <w:p>
      <w:pPr>
        <w:pStyle w:val="Heading1"/>
      </w:pPr>
      <w:r>
        <w:t>Nueva presentación de etanol</w:t>
      </w:r>
    </w:p>
    <w:p>
      <w:r>
        <w:t>Se agrega una pestaña nueva por suplidor en la descarga de MovCom: Etanol UNO Guatemala, Etanol Uno Fuels y Etanol Chevron Guatemala. Cada pestaña muestra la fecha, la unidad correlativa, AG Boletas, AH Real y AI Corregido en galones. Estas pestañas son adicionales; no cambian las pestañas, fórmulas ni cálculos existentes de combustibles.</w:t>
      </w:r>
    </w:p>
    <w:p>
      <w:pPr>
        <w:pStyle w:val="Heading1"/>
      </w:pPr>
      <w:r>
        <w:t>Pendientes para cierre correcto</w:t>
      </w:r>
    </w:p>
    <w:p>
      <w:pPr>
        <w:pStyle w:val="ListBullet"/>
      </w:pPr>
      <w:r>
        <w:t>Rastrear los 82, 94 y 49 galones de diferencia por folio, orden, hora de carga y línea TMS antes de cerrar septiembre.</w:t>
      </w:r>
    </w:p>
    <w:p>
      <w:pPr>
        <w:pStyle w:val="ListBullet"/>
      </w:pPr>
      <w:r>
        <w:t>Registrar AG Boletas también en las futuras entradas de etanol. Los datos históricos de septiembre ya se cargaron para que las nuevas pestañas repliquen el Excel.</w:t>
      </w:r>
    </w:p>
    <w:p>
      <w:pPr>
        <w:pStyle w:val="ListBullet"/>
      </w:pPr>
      <w:r>
        <w:t>Validar los saldos físicos de etanol y tubería contra el cierre final si se necesita calcular la ganancia o pérdida de etanol.</w:t>
      </w:r>
    </w:p>
    <w:p>
      <w:pPr>
        <w:pStyle w:val="ListBullet"/>
      </w:pPr>
      <w:r>
        <w:t>Mantener el correlativo MMDD mientras no se disponga de la identificación real de cada unidad; sustituirlo cuando se reciba el identificador oficial.</w:t>
      </w:r>
    </w:p>
    <w:p>
      <w:pPr>
        <w:pStyle w:val="Heading1"/>
      </w:pPr>
      <w:r>
        <w:t>Criterio de aceptación</w:t>
      </w:r>
    </w:p>
    <w:p>
      <w:r>
        <w:t>El cierre queda listo para operación cuando los recibos AI del sistema coincidan con el Excel, las nuevas pestañas de etanol muestren los ingresos por unidad y las diferencias de despacho TMS estén justificadas o corregidas por su folio de origen.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