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Guia de parametros para consultas TMS y MovCom</w:t>
      </w:r>
    </w:p>
    <w:p>
      <w:pPr>
        <w:jc w:val="center"/>
      </w:pPr>
      <w:r>
        <w:rPr>
          <w:i/>
        </w:rPr>
        <w:t>Referencia para reportes de despacho, carga diaria, combustibles, etanol y aditivos</w:t>
      </w:r>
    </w:p>
    <w:p>
      <w:pPr>
        <w:pStyle w:val="Heading1"/>
      </w:pPr>
      <w:r>
        <w:t>Objetivo</w:t>
      </w:r>
    </w:p>
    <w:p>
      <w:r>
        <w:t>Esta guía define los parámetros obligatorios para construir o revisar consultas de MovCom y del Reporte de Carga. Su propósito es que los resultados incluyan únicamente despachos válidos, mantengan separados los cálculos de estándar y ambiente, y conserven el producto del TMS en cada línea.</w:t>
      </w:r>
    </w:p>
    <w:p>
      <w:pPr>
        <w:pStyle w:val="Heading1"/>
      </w:pPr>
      <w:r>
        <w:t>Regla principal de despacho</w:t>
      </w:r>
    </w:p>
    <w:p>
      <w:r>
        <w:t>Un movimiento se considera despacho solamente cuando existe su registro correspondiente en BI.dbo.TMS_Datos con IdTransaccion = 530. No se deben incluir ingresos ni otros tipos de transacción. El filtro debe usarse dentro de cada consulta que calcule despachos, aunque se repita.</w:t>
      </w:r>
    </w:p>
    <w:p>
      <w:pPr>
        <w:pStyle w:val="Heading1"/>
      </w:pPr>
      <w:r>
        <w:t>Parametros obligatorios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00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Parametro</w:t>
            </w:r>
          </w:p>
        </w:tc>
        <w:tc>
          <w:tcPr>
            <w:tcW w:type="dxa" w:w="3096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Valor o fuente</w:t>
            </w:r>
          </w:p>
        </w:tc>
        <w:tc>
          <w:tcPr>
            <w:tcW w:type="dxa" w:w="4752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Uso obligatorio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Rango de fechas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Fecha inicial y fecha final</w:t>
            </w:r>
          </w:p>
        </w:tc>
        <w:tc>
          <w:tcPr>
            <w:tcW w:type="dxa" w:w="47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Aplicar desde la fecha inicial inclusive hasta el día siguiente de la fecha final exclusivo.</w:t>
            </w:r>
          </w:p>
        </w:tc>
      </w:tr>
      <w:tr>
        <w:tc>
          <w:tcPr>
            <w:tcW w:type="dxa" w:w="1800"/>
            <w:shd w:fill="EDF3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Tipo de movimiento</w:t>
            </w:r>
          </w:p>
        </w:tc>
        <w:tc>
          <w:tcPr>
            <w:tcW w:type="dxa" w:w="3096"/>
            <w:shd w:fill="EDF3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TMS_Datos.IdTransaccion = 530</w:t>
            </w:r>
          </w:p>
        </w:tc>
        <w:tc>
          <w:tcPr>
            <w:tcW w:type="dxa" w:w="4752"/>
            <w:shd w:fill="EDF3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Incluir solo despachos. No inferir el tipo por el nombre del producto.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Folio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FolioAnio, FolioMes y Folio</w:t>
            </w:r>
          </w:p>
        </w:tc>
        <w:tc>
          <w:tcPr>
            <w:tcW w:type="dxa" w:w="47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Relacionar el movimiento con el documento correcto.</w:t>
            </w:r>
          </w:p>
        </w:tc>
      </w:tr>
      <w:tr>
        <w:tc>
          <w:tcPr>
            <w:tcW w:type="dxa" w:w="1800"/>
            <w:shd w:fill="EDF3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Llave de linea TMS</w:t>
            </w:r>
          </w:p>
        </w:tc>
        <w:tc>
          <w:tcPr>
            <w:tcW w:type="dxa" w:w="3096"/>
            <w:shd w:fill="EDF3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IdSecuenciaSalida, IdRecord, NoOrden, IdProductoSocio e IdProductoBase</w:t>
            </w:r>
          </w:p>
        </w:tc>
        <w:tc>
          <w:tcPr>
            <w:tcW w:type="dxa" w:w="4752"/>
            <w:shd w:fill="EDF3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Validar que el 530 corresponda exactamente a la misma línea, no solo al mismo folio.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Producto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ProductoSocio; si está vacío ProductoBase</w:t>
            </w:r>
          </w:p>
        </w:tc>
        <w:tc>
          <w:tcPr>
            <w:tcW w:type="dxa" w:w="47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Mostrarlo como columna Producto TMS en el Reporte de Carga.</w:t>
            </w:r>
          </w:p>
        </w:tc>
      </w:tr>
    </w:tbl>
    <w:p>
      <w:pPr>
        <w:spacing w:after="40"/>
      </w:pPr>
    </w:p>
    <w:p>
      <w:pPr>
        <w:pStyle w:val="Heading1"/>
      </w:pPr>
      <w:r>
        <w:t>Relacion exacta con TMS Datos</w:t>
      </w:r>
    </w:p>
    <w:p>
      <w:r>
        <w:t>La condición EXISTS contra BI.dbo.TMS_Datos debe comparar todos los campos siguientes con la línea de BI.dbo.TMS: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168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Documento</w:t>
            </w:r>
          </w:p>
        </w:tc>
        <w:tc>
          <w:tcPr>
            <w:tcW w:type="dxa" w:w="3600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Linea</w:t>
            </w:r>
          </w:p>
        </w:tc>
        <w:tc>
          <w:tcPr>
            <w:tcW w:type="dxa" w:w="2880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Producto</w:t>
            </w:r>
          </w:p>
        </w:tc>
      </w:tr>
      <w:tr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FolioAnio, FolioMes, Folio</w:t>
            </w:r>
          </w:p>
        </w:tc>
        <w:tc>
          <w:tcPr>
            <w:tcW w:type="dxa" w:w="36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IdSecuenciaSalida, IdRecord, NoOrden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IdProductoSocio, IdProductoBase</w:t>
            </w:r>
          </w:p>
        </w:tc>
      </w:tr>
    </w:tbl>
    <w:p>
      <w:pPr>
        <w:spacing w:after="40"/>
      </w:pPr>
    </w:p>
    <w:p>
      <w:r>
        <w:t>No basta con filtrar por folio ni por IdTransaccion de forma aislada. Esta llave completa evita relacionar una línea de producto con otra línea del mismo documento.</w:t>
      </w:r>
    </w:p>
    <w:p>
      <w:pPr>
        <w:pStyle w:val="Heading1"/>
      </w:pPr>
      <w:r>
        <w:t>Separacion de consultas y medidas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880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Consulta</w:t>
            </w:r>
          </w:p>
        </w:tc>
        <w:tc>
          <w:tcPr>
            <w:tcW w:type="dxa" w:w="2448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Cantidad que usa</w:t>
            </w:r>
          </w:p>
        </w:tc>
        <w:tc>
          <w:tcPr>
            <w:tcW w:type="dxa" w:w="4320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Regla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Reporte de Carga Estándar</w:t>
            </w:r>
          </w:p>
        </w:tc>
        <w:tc>
          <w:tcPr>
            <w:tcW w:type="dxa" w:w="24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TMS.Importe</w:t>
            </w:r>
          </w:p>
        </w:tc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Consulta, endpoint y resultado independientes.</w:t>
            </w:r>
          </w:p>
        </w:tc>
      </w:tr>
      <w:tr>
        <w:tc>
          <w:tcPr>
            <w:tcW w:type="dxa" w:w="2880"/>
            <w:shd w:fill="EDF3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Reporte de Carga Ambiente</w:t>
            </w:r>
          </w:p>
        </w:tc>
        <w:tc>
          <w:tcPr>
            <w:tcW w:type="dxa" w:w="2448"/>
            <w:shd w:fill="EDF3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TMS.Cantidad</w:t>
            </w:r>
          </w:p>
        </w:tc>
        <w:tc>
          <w:tcPr>
            <w:tcW w:type="dxa" w:w="4320"/>
            <w:shd w:fill="EDF3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Consulta, endpoint y resultado independientes.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MovCom Estándar</w:t>
            </w:r>
          </w:p>
        </w:tc>
        <w:tc>
          <w:tcPr>
            <w:tcW w:type="dxa" w:w="24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ImporteComponente</w:t>
            </w:r>
          </w:p>
        </w:tc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usar CantidadComponente para el resultado estándar.</w:t>
            </w:r>
          </w:p>
        </w:tc>
      </w:tr>
      <w:tr>
        <w:tc>
          <w:tcPr>
            <w:tcW w:type="dxa" w:w="2880"/>
            <w:shd w:fill="EDF3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MovCom Ambiente</w:t>
            </w:r>
          </w:p>
        </w:tc>
        <w:tc>
          <w:tcPr>
            <w:tcW w:type="dxa" w:w="2448"/>
            <w:shd w:fill="EDF3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CantidadComponente</w:t>
            </w:r>
          </w:p>
        </w:tc>
        <w:tc>
          <w:tcPr>
            <w:tcW w:type="dxa" w:w="4320"/>
            <w:shd w:fill="EDF3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usar ImporteComponente para el resultado ambiente.</w:t>
            </w:r>
          </w:p>
        </w:tc>
      </w:tr>
    </w:tbl>
    <w:p>
      <w:pPr>
        <w:spacing w:after="40"/>
      </w:pPr>
    </w:p>
    <w:p>
      <w:r>
        <w:t>La pantalla puede presentar ambos resultados, pero cada uno debe ejecutar su propia consulta. No se debe cambiar la medida con un parámetro compartido dentro de una consulta genérica.</w:t>
      </w:r>
    </w:p>
    <w:p>
      <w:pPr>
        <w:pStyle w:val="Heading1"/>
      </w:pPr>
      <w:r>
        <w:t>Tratamiento por producto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944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Producto</w:t>
            </w:r>
          </w:p>
        </w:tc>
        <w:tc>
          <w:tcPr>
            <w:tcW w:type="dxa" w:w="3672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Origen del dato</w:t>
            </w:r>
          </w:p>
        </w:tc>
        <w:tc>
          <w:tcPr>
            <w:tcW w:type="dxa" w:w="4032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Regla de calculo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Combustible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Línea propia del TMS con 530</w:t>
            </w:r>
          </w:p>
        </w:tc>
        <w:tc>
          <w:tcPr>
            <w:tcW w:type="dxa" w:w="40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Mostrar solamente su propia línea y su producto TMS.</w:t>
            </w:r>
          </w:p>
        </w:tc>
      </w:tr>
      <w:tr>
        <w:tc>
          <w:tcPr>
            <w:tcW w:type="dxa" w:w="1944"/>
            <w:shd w:fill="EDF3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Etanol</w:t>
            </w:r>
          </w:p>
        </w:tc>
        <w:tc>
          <w:tcPr>
            <w:tcW w:type="dxa" w:w="3672"/>
            <w:shd w:fill="EDF3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Línea propia de etanol en BI y TMS con 530</w:t>
            </w:r>
          </w:p>
        </w:tc>
        <w:tc>
          <w:tcPr>
            <w:tcW w:type="dxa" w:w="4032"/>
            <w:shd w:fill="EDF3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calcularlo como porcentaje de MOGAS 91. El porcentaje es solo una validación de referencia.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Aditivos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Línea propia del aditivo en BI y TMS con 530</w:t>
            </w:r>
          </w:p>
        </w:tc>
        <w:tc>
          <w:tcPr>
            <w:tcW w:type="dxa" w:w="40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Ejecutar una consulta independiente por ambiente y estándar.</w:t>
            </w:r>
          </w:p>
        </w:tc>
      </w:tr>
    </w:tbl>
    <w:p>
      <w:pPr>
        <w:spacing w:after="40"/>
      </w:pPr>
    </w:p>
    <w:p>
      <w:pPr>
        <w:pStyle w:val="Heading1"/>
      </w:pPr>
      <w:r>
        <w:t>Validaciones antes de publicar un resultado</w:t>
      </w:r>
    </w:p>
    <w:p>
      <w:pPr>
        <w:pStyle w:val="ListBullet"/>
        <w:spacing w:after="40"/>
      </w:pPr>
      <w:r>
        <w:t>Confirmar que todas las líneas seleccionadas tienen IdTransaccion = 530 mediante la llave completa TMS.</w:t>
      </w:r>
    </w:p>
    <w:p>
      <w:pPr>
        <w:pStyle w:val="ListBullet"/>
        <w:spacing w:after="40"/>
      </w:pPr>
      <w:r>
        <w:t>Comparar el total diario con el detalle de folios, sin mezclar ingresos con despachos.</w:t>
      </w:r>
    </w:p>
    <w:p>
      <w:pPr>
        <w:pStyle w:val="ListBullet"/>
        <w:spacing w:after="40"/>
      </w:pPr>
      <w:r>
        <w:t>Revisar que MOGAS 91 no incluya etanol y que etanol aparezca únicamente en su propia línea.</w:t>
      </w:r>
    </w:p>
    <w:p>
      <w:pPr>
        <w:pStyle w:val="ListBullet"/>
        <w:spacing w:after="40"/>
      </w:pPr>
      <w:r>
        <w:t>Usar la proporción etanol frente a MOGAS 91 solo como control aproximado. No usarla para generar valores faltantes.</w:t>
      </w:r>
    </w:p>
    <w:p>
      <w:pPr>
        <w:pStyle w:val="ListBullet"/>
        <w:spacing w:after="40"/>
      </w:pPr>
      <w:r>
        <w:t>Verificar por separado estándar y ambiente; las diferencias de cantidad son esperadas porque usan medidas distintas.</w:t>
      </w:r>
    </w:p>
    <w:p>
      <w:pPr>
        <w:pStyle w:val="ListBullet"/>
        <w:spacing w:after="40"/>
      </w:pPr>
      <w:r>
        <w:t>En el Reporte de Carga, comprobar que cada fila tenga Producto TMS y que el producto coincida con el folio y la línea consultada.</w:t>
      </w:r>
    </w:p>
    <w:p>
      <w:pPr>
        <w:pStyle w:val="Heading1"/>
      </w:pPr>
      <w:r>
        <w:t>Lista de verificacion para una nueva consulta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792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type="dxa" w:w="8784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Confirmacion</w:t>
            </w:r>
          </w:p>
        </w:tc>
      </w:tr>
      <w:tr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87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Definir fecha inicial, fecha final, servicio o suplidor y producto requerido.</w:t>
            </w:r>
          </w:p>
        </w:tc>
      </w:tr>
      <w:tr>
        <w:tc>
          <w:tcPr>
            <w:tcW w:type="dxa" w:w="792"/>
            <w:shd w:fill="EDF3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8784"/>
            <w:shd w:fill="EDF3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Aplicar TMS_Datos.IdTransaccion = 530 con la llave completa de línea.</w:t>
            </w:r>
          </w:p>
        </w:tc>
      </w:tr>
      <w:tr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87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Separar la consulta estándar de la consulta ambiente y fijar su medida correcta.</w:t>
            </w:r>
          </w:p>
        </w:tc>
      </w:tr>
      <w:tr>
        <w:tc>
          <w:tcPr>
            <w:tcW w:type="dxa" w:w="792"/>
            <w:shd w:fill="EDF3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8784"/>
            <w:shd w:fill="EDF3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Mantener etanol y aditivos en consultas propias; no derivarlos de combustibles.</w:t>
            </w:r>
          </w:p>
        </w:tc>
      </w:tr>
      <w:tr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87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Incluir Producto TMS en el detalle de cada folio.</w:t>
            </w:r>
          </w:p>
        </w:tc>
      </w:tr>
      <w:tr>
        <w:tc>
          <w:tcPr>
            <w:tcW w:type="dxa" w:w="792"/>
            <w:shd w:fill="EDF3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8784"/>
            <w:shd w:fill="EDF3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Cuadrar total, detalle diario y folios antes de entregar el reporte.</w:t>
            </w:r>
          </w:p>
        </w:tc>
      </w:tr>
    </w:tbl>
    <w:p>
      <w:pPr>
        <w:spacing w:after="40"/>
      </w:pPr>
    </w:p>
    <w:p>
      <w:r>
        <w:t>Esta guía aplica a Chevron Guatemala, Uno Fuels, UNO Guatemala, UNO Petróleos y cualquier nuevo servicio que use las mismas fuentes BI y TMS.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Guía operativa de consultas TMS y MovCom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