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520F" w14:textId="50D76ECD" w:rsidR="00ED26AF" w:rsidRPr="002F1810" w:rsidRDefault="006E552C">
      <w:pP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Practice 6</w:t>
      </w:r>
    </w:p>
    <w:p w14:paraId="73C28670" w14:textId="285813C0"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Long and Short went into partnership on 1 July Year 5, each contributing RM48,000 and RM32,000 respectively as their capital. The partnership agreement provided that:</w:t>
      </w:r>
    </w:p>
    <w:p w14:paraId="6E17DA36" w14:textId="33663DAF" w:rsidR="006E552C" w:rsidRPr="002F1810" w:rsidRDefault="006E552C" w:rsidP="002F1810">
      <w:pPr>
        <w:pStyle w:val="ListParagraph"/>
        <w:numPr>
          <w:ilvl w:val="0"/>
          <w:numId w:val="1"/>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Profits and losses were to be shared equally.</w:t>
      </w:r>
    </w:p>
    <w:p w14:paraId="74593B96" w14:textId="1D6B7E70" w:rsidR="006E552C" w:rsidRPr="002F1810" w:rsidRDefault="006E552C" w:rsidP="002F1810">
      <w:pPr>
        <w:pStyle w:val="ListParagraph"/>
        <w:numPr>
          <w:ilvl w:val="0"/>
          <w:numId w:val="1"/>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Short had to transfer RM4,000 annually on 30 June from his Current account to his Capital account until his capital was equal to that of Long. The first transfer started on 30 June Year 6.</w:t>
      </w:r>
    </w:p>
    <w:p w14:paraId="3FDE5040" w14:textId="55FA7BB9" w:rsidR="006E552C" w:rsidRPr="002F1810" w:rsidRDefault="006E552C" w:rsidP="002F1810">
      <w:pPr>
        <w:pStyle w:val="ListParagraph"/>
        <w:numPr>
          <w:ilvl w:val="0"/>
          <w:numId w:val="1"/>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Interest on capital was to be allowed at 10$ per annum based on the initial capital.</w:t>
      </w:r>
    </w:p>
    <w:p w14:paraId="05695349" w14:textId="2DA4DEF2" w:rsidR="006E552C" w:rsidRPr="002F1810" w:rsidRDefault="006E552C" w:rsidP="006E552C">
      <w:pPr>
        <w:rPr>
          <w:rFonts w:ascii="MiSans Normal" w:eastAsia="MiSans Normal" w:hAnsi="MiSans Normal"/>
          <w:sz w:val="19"/>
          <w:szCs w:val="19"/>
          <w:lang w:val="en-US"/>
        </w:rPr>
      </w:pPr>
    </w:p>
    <w:p w14:paraId="4E0A5EA9" w14:textId="299C3968"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The following was their Trial Balance taken on 30 June Year 6:</w:t>
      </w:r>
    </w:p>
    <w:tbl>
      <w:tblPr>
        <w:tblStyle w:val="TableGrid"/>
        <w:tblW w:w="0" w:type="auto"/>
        <w:tblLook w:val="04A0" w:firstRow="1" w:lastRow="0" w:firstColumn="1" w:lastColumn="0" w:noHBand="0" w:noVBand="1"/>
      </w:tblPr>
      <w:tblGrid>
        <w:gridCol w:w="704"/>
        <w:gridCol w:w="6804"/>
        <w:gridCol w:w="1418"/>
        <w:gridCol w:w="1530"/>
      </w:tblGrid>
      <w:tr w:rsidR="006E552C" w:rsidRPr="002F1810" w14:paraId="66F44A43" w14:textId="77777777" w:rsidTr="006E552C">
        <w:tc>
          <w:tcPr>
            <w:tcW w:w="704" w:type="dxa"/>
          </w:tcPr>
          <w:p w14:paraId="5BDAAF0F" w14:textId="77777777" w:rsidR="006E552C" w:rsidRPr="002F1810" w:rsidRDefault="006E552C" w:rsidP="006E552C">
            <w:pPr>
              <w:rPr>
                <w:rFonts w:ascii="MiSans Normal" w:eastAsia="MiSans Normal" w:hAnsi="MiSans Normal"/>
                <w:sz w:val="19"/>
                <w:szCs w:val="19"/>
                <w:lang w:val="en-US"/>
              </w:rPr>
            </w:pPr>
          </w:p>
        </w:tc>
        <w:tc>
          <w:tcPr>
            <w:tcW w:w="6804" w:type="dxa"/>
          </w:tcPr>
          <w:p w14:paraId="6F7AACBC" w14:textId="77777777" w:rsidR="006E552C" w:rsidRPr="002F1810" w:rsidRDefault="006E552C" w:rsidP="006E552C">
            <w:pPr>
              <w:rPr>
                <w:rFonts w:ascii="MiSans Normal" w:eastAsia="MiSans Normal" w:hAnsi="MiSans Normal"/>
                <w:sz w:val="19"/>
                <w:szCs w:val="19"/>
                <w:lang w:val="en-US"/>
              </w:rPr>
            </w:pPr>
          </w:p>
        </w:tc>
        <w:tc>
          <w:tcPr>
            <w:tcW w:w="1418" w:type="dxa"/>
          </w:tcPr>
          <w:p w14:paraId="5041A3C7" w14:textId="2D0E822D" w:rsidR="006E552C" w:rsidRPr="002F1810" w:rsidRDefault="006E552C" w:rsidP="006E552C">
            <w:pPr>
              <w:jc w:val="cente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Debit</w:t>
            </w:r>
          </w:p>
        </w:tc>
        <w:tc>
          <w:tcPr>
            <w:tcW w:w="1530" w:type="dxa"/>
          </w:tcPr>
          <w:p w14:paraId="0134F053" w14:textId="2328D235" w:rsidR="006E552C" w:rsidRPr="002F1810" w:rsidRDefault="006E552C" w:rsidP="006E552C">
            <w:pPr>
              <w:jc w:val="cente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Credit</w:t>
            </w:r>
          </w:p>
        </w:tc>
      </w:tr>
      <w:tr w:rsidR="006E552C" w:rsidRPr="002F1810" w14:paraId="7212E0C5" w14:textId="77777777" w:rsidTr="006E552C">
        <w:tc>
          <w:tcPr>
            <w:tcW w:w="704" w:type="dxa"/>
          </w:tcPr>
          <w:p w14:paraId="44D1C954" w14:textId="77777777" w:rsidR="006E552C" w:rsidRPr="002F1810" w:rsidRDefault="006E552C" w:rsidP="006E552C">
            <w:pPr>
              <w:rPr>
                <w:rFonts w:ascii="MiSans Normal" w:eastAsia="MiSans Normal" w:hAnsi="MiSans Normal"/>
                <w:sz w:val="19"/>
                <w:szCs w:val="19"/>
                <w:lang w:val="en-US"/>
              </w:rPr>
            </w:pPr>
          </w:p>
        </w:tc>
        <w:tc>
          <w:tcPr>
            <w:tcW w:w="6804" w:type="dxa"/>
          </w:tcPr>
          <w:p w14:paraId="3F256A6A" w14:textId="77777777" w:rsidR="006E552C" w:rsidRPr="002F1810" w:rsidRDefault="006E552C" w:rsidP="006E552C">
            <w:pPr>
              <w:rPr>
                <w:rFonts w:ascii="MiSans Normal" w:eastAsia="MiSans Normal" w:hAnsi="MiSans Normal"/>
                <w:sz w:val="19"/>
                <w:szCs w:val="19"/>
                <w:lang w:val="en-US"/>
              </w:rPr>
            </w:pPr>
          </w:p>
        </w:tc>
        <w:tc>
          <w:tcPr>
            <w:tcW w:w="1418" w:type="dxa"/>
          </w:tcPr>
          <w:p w14:paraId="1970489D" w14:textId="6FD7B96E" w:rsidR="006E552C" w:rsidRPr="002F1810" w:rsidRDefault="006E552C" w:rsidP="006E552C">
            <w:pPr>
              <w:jc w:val="cente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RM</w:t>
            </w:r>
          </w:p>
        </w:tc>
        <w:tc>
          <w:tcPr>
            <w:tcW w:w="1530" w:type="dxa"/>
          </w:tcPr>
          <w:p w14:paraId="039E7C4A" w14:textId="6BBF9CB3" w:rsidR="006E552C" w:rsidRPr="002F1810" w:rsidRDefault="006E552C" w:rsidP="006E552C">
            <w:pPr>
              <w:jc w:val="cente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RM</w:t>
            </w:r>
          </w:p>
        </w:tc>
      </w:tr>
      <w:tr w:rsidR="006E552C" w:rsidRPr="002F1810" w14:paraId="2F929C60" w14:textId="77777777" w:rsidTr="006E552C">
        <w:tc>
          <w:tcPr>
            <w:tcW w:w="704" w:type="dxa"/>
          </w:tcPr>
          <w:p w14:paraId="5945E71E" w14:textId="77777777" w:rsidR="006E552C" w:rsidRPr="002F1810" w:rsidRDefault="006E552C" w:rsidP="006E552C">
            <w:pPr>
              <w:rPr>
                <w:rFonts w:ascii="MiSans Normal" w:eastAsia="MiSans Normal" w:hAnsi="MiSans Normal"/>
                <w:sz w:val="19"/>
                <w:szCs w:val="19"/>
                <w:lang w:val="en-US"/>
              </w:rPr>
            </w:pPr>
          </w:p>
        </w:tc>
        <w:tc>
          <w:tcPr>
            <w:tcW w:w="6804" w:type="dxa"/>
          </w:tcPr>
          <w:p w14:paraId="69C045FC" w14:textId="17F73B84"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Freehold Premises</w:t>
            </w:r>
          </w:p>
        </w:tc>
        <w:tc>
          <w:tcPr>
            <w:tcW w:w="1418" w:type="dxa"/>
          </w:tcPr>
          <w:p w14:paraId="1049B775" w14:textId="4F0982E6"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50,000</w:t>
            </w:r>
          </w:p>
        </w:tc>
        <w:tc>
          <w:tcPr>
            <w:tcW w:w="1530" w:type="dxa"/>
          </w:tcPr>
          <w:p w14:paraId="770FADFC"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00F952D6" w14:textId="77777777" w:rsidTr="006E552C">
        <w:tc>
          <w:tcPr>
            <w:tcW w:w="704" w:type="dxa"/>
          </w:tcPr>
          <w:p w14:paraId="2685E438" w14:textId="77777777" w:rsidR="006E552C" w:rsidRPr="002F1810" w:rsidRDefault="006E552C" w:rsidP="006E552C">
            <w:pPr>
              <w:rPr>
                <w:rFonts w:ascii="MiSans Normal" w:eastAsia="MiSans Normal" w:hAnsi="MiSans Normal"/>
                <w:sz w:val="19"/>
                <w:szCs w:val="19"/>
                <w:lang w:val="en-US"/>
              </w:rPr>
            </w:pPr>
          </w:p>
        </w:tc>
        <w:tc>
          <w:tcPr>
            <w:tcW w:w="6804" w:type="dxa"/>
          </w:tcPr>
          <w:p w14:paraId="79910DE9" w14:textId="4B303BAE"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Office Equipment</w:t>
            </w:r>
          </w:p>
        </w:tc>
        <w:tc>
          <w:tcPr>
            <w:tcW w:w="1418" w:type="dxa"/>
          </w:tcPr>
          <w:p w14:paraId="4CCF8E1E" w14:textId="4860AAC7"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14,000</w:t>
            </w:r>
          </w:p>
        </w:tc>
        <w:tc>
          <w:tcPr>
            <w:tcW w:w="1530" w:type="dxa"/>
          </w:tcPr>
          <w:p w14:paraId="518BF315"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31B724F9" w14:textId="77777777" w:rsidTr="006E552C">
        <w:tc>
          <w:tcPr>
            <w:tcW w:w="704" w:type="dxa"/>
          </w:tcPr>
          <w:p w14:paraId="77EB85EC" w14:textId="77777777" w:rsidR="006E552C" w:rsidRPr="002F1810" w:rsidRDefault="006E552C" w:rsidP="006E552C">
            <w:pPr>
              <w:rPr>
                <w:rFonts w:ascii="MiSans Normal" w:eastAsia="MiSans Normal" w:hAnsi="MiSans Normal"/>
                <w:sz w:val="19"/>
                <w:szCs w:val="19"/>
                <w:lang w:val="en-US"/>
              </w:rPr>
            </w:pPr>
          </w:p>
        </w:tc>
        <w:tc>
          <w:tcPr>
            <w:tcW w:w="6804" w:type="dxa"/>
          </w:tcPr>
          <w:p w14:paraId="217DB90E" w14:textId="4092A0C6"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Motor Vehicles</w:t>
            </w:r>
          </w:p>
        </w:tc>
        <w:tc>
          <w:tcPr>
            <w:tcW w:w="1418" w:type="dxa"/>
          </w:tcPr>
          <w:p w14:paraId="6F3118F0" w14:textId="7EA1903F"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20,080</w:t>
            </w:r>
          </w:p>
        </w:tc>
        <w:tc>
          <w:tcPr>
            <w:tcW w:w="1530" w:type="dxa"/>
          </w:tcPr>
          <w:p w14:paraId="49969AA2"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7C580409" w14:textId="77777777" w:rsidTr="006E552C">
        <w:tc>
          <w:tcPr>
            <w:tcW w:w="704" w:type="dxa"/>
          </w:tcPr>
          <w:p w14:paraId="5A12426A" w14:textId="77777777" w:rsidR="006E552C" w:rsidRPr="002F1810" w:rsidRDefault="006E552C" w:rsidP="006E552C">
            <w:pPr>
              <w:rPr>
                <w:rFonts w:ascii="MiSans Normal" w:eastAsia="MiSans Normal" w:hAnsi="MiSans Normal"/>
                <w:sz w:val="19"/>
                <w:szCs w:val="19"/>
                <w:lang w:val="en-US"/>
              </w:rPr>
            </w:pPr>
          </w:p>
        </w:tc>
        <w:tc>
          <w:tcPr>
            <w:tcW w:w="6804" w:type="dxa"/>
          </w:tcPr>
          <w:p w14:paraId="098AD42C" w14:textId="67600B3D"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Purchases and Sales</w:t>
            </w:r>
          </w:p>
        </w:tc>
        <w:tc>
          <w:tcPr>
            <w:tcW w:w="1418" w:type="dxa"/>
          </w:tcPr>
          <w:p w14:paraId="2DFA5289" w14:textId="1087F8F1"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254,700</w:t>
            </w:r>
          </w:p>
        </w:tc>
        <w:tc>
          <w:tcPr>
            <w:tcW w:w="1530" w:type="dxa"/>
          </w:tcPr>
          <w:p w14:paraId="773D0E3C" w14:textId="49AA7F7D"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315,200</w:t>
            </w:r>
          </w:p>
        </w:tc>
      </w:tr>
      <w:tr w:rsidR="006E552C" w:rsidRPr="002F1810" w14:paraId="150ECCE0" w14:textId="77777777" w:rsidTr="006E552C">
        <w:tc>
          <w:tcPr>
            <w:tcW w:w="704" w:type="dxa"/>
          </w:tcPr>
          <w:p w14:paraId="579FD15E" w14:textId="77777777" w:rsidR="006E552C" w:rsidRPr="002F1810" w:rsidRDefault="006E552C" w:rsidP="006E552C">
            <w:pPr>
              <w:rPr>
                <w:rFonts w:ascii="MiSans Normal" w:eastAsia="MiSans Normal" w:hAnsi="MiSans Normal"/>
                <w:sz w:val="19"/>
                <w:szCs w:val="19"/>
                <w:lang w:val="en-US"/>
              </w:rPr>
            </w:pPr>
          </w:p>
        </w:tc>
        <w:tc>
          <w:tcPr>
            <w:tcW w:w="6804" w:type="dxa"/>
          </w:tcPr>
          <w:p w14:paraId="292FE5FB" w14:textId="66DF8149"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Accounts Receivable and Accounts Payable</w:t>
            </w:r>
          </w:p>
        </w:tc>
        <w:tc>
          <w:tcPr>
            <w:tcW w:w="1418" w:type="dxa"/>
          </w:tcPr>
          <w:p w14:paraId="2D969810" w14:textId="7DA5BF11"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21,780</w:t>
            </w:r>
          </w:p>
        </w:tc>
        <w:tc>
          <w:tcPr>
            <w:tcW w:w="1530" w:type="dxa"/>
          </w:tcPr>
          <w:p w14:paraId="05547B67" w14:textId="67AD82C3"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23,000</w:t>
            </w:r>
          </w:p>
        </w:tc>
      </w:tr>
      <w:tr w:rsidR="006E552C" w:rsidRPr="002F1810" w14:paraId="76A7C30E" w14:textId="77777777" w:rsidTr="006E552C">
        <w:tc>
          <w:tcPr>
            <w:tcW w:w="704" w:type="dxa"/>
          </w:tcPr>
          <w:p w14:paraId="73D67886" w14:textId="77777777" w:rsidR="006E552C" w:rsidRPr="002F1810" w:rsidRDefault="006E552C" w:rsidP="006E552C">
            <w:pPr>
              <w:rPr>
                <w:rFonts w:ascii="MiSans Normal" w:eastAsia="MiSans Normal" w:hAnsi="MiSans Normal"/>
                <w:sz w:val="19"/>
                <w:szCs w:val="19"/>
                <w:lang w:val="en-US"/>
              </w:rPr>
            </w:pPr>
          </w:p>
        </w:tc>
        <w:tc>
          <w:tcPr>
            <w:tcW w:w="6804" w:type="dxa"/>
          </w:tcPr>
          <w:p w14:paraId="05DAB401" w14:textId="60937C02"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Bank</w:t>
            </w:r>
          </w:p>
        </w:tc>
        <w:tc>
          <w:tcPr>
            <w:tcW w:w="1418" w:type="dxa"/>
          </w:tcPr>
          <w:p w14:paraId="32383FA3" w14:textId="2B33FBF2"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4,820</w:t>
            </w:r>
          </w:p>
        </w:tc>
        <w:tc>
          <w:tcPr>
            <w:tcW w:w="1530" w:type="dxa"/>
          </w:tcPr>
          <w:p w14:paraId="32EE2FAD"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379ACF33" w14:textId="77777777" w:rsidTr="006E552C">
        <w:tc>
          <w:tcPr>
            <w:tcW w:w="704" w:type="dxa"/>
          </w:tcPr>
          <w:p w14:paraId="1CF2EDAB" w14:textId="77777777" w:rsidR="006E552C" w:rsidRPr="002F1810" w:rsidRDefault="006E552C" w:rsidP="006E552C">
            <w:pPr>
              <w:rPr>
                <w:rFonts w:ascii="MiSans Normal" w:eastAsia="MiSans Normal" w:hAnsi="MiSans Normal"/>
                <w:sz w:val="19"/>
                <w:szCs w:val="19"/>
                <w:lang w:val="en-US"/>
              </w:rPr>
            </w:pPr>
          </w:p>
        </w:tc>
        <w:tc>
          <w:tcPr>
            <w:tcW w:w="6804" w:type="dxa"/>
          </w:tcPr>
          <w:p w14:paraId="2E947D15" w14:textId="4CFBDC36"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Salaries</w:t>
            </w:r>
          </w:p>
        </w:tc>
        <w:tc>
          <w:tcPr>
            <w:tcW w:w="1418" w:type="dxa"/>
          </w:tcPr>
          <w:p w14:paraId="118F5ECE" w14:textId="6B7A00AB"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25,200</w:t>
            </w:r>
          </w:p>
        </w:tc>
        <w:tc>
          <w:tcPr>
            <w:tcW w:w="1530" w:type="dxa"/>
          </w:tcPr>
          <w:p w14:paraId="4434C5F3"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2D0AA42C" w14:textId="77777777" w:rsidTr="006E552C">
        <w:tc>
          <w:tcPr>
            <w:tcW w:w="704" w:type="dxa"/>
          </w:tcPr>
          <w:p w14:paraId="490B9BC9" w14:textId="77777777" w:rsidR="006E552C" w:rsidRPr="002F1810" w:rsidRDefault="006E552C" w:rsidP="006E552C">
            <w:pPr>
              <w:rPr>
                <w:rFonts w:ascii="MiSans Normal" w:eastAsia="MiSans Normal" w:hAnsi="MiSans Normal"/>
                <w:sz w:val="19"/>
                <w:szCs w:val="19"/>
                <w:lang w:val="en-US"/>
              </w:rPr>
            </w:pPr>
          </w:p>
        </w:tc>
        <w:tc>
          <w:tcPr>
            <w:tcW w:w="6804" w:type="dxa"/>
          </w:tcPr>
          <w:p w14:paraId="5D645A11" w14:textId="0F32ACD7"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Insurance Expenses</w:t>
            </w:r>
          </w:p>
        </w:tc>
        <w:tc>
          <w:tcPr>
            <w:tcW w:w="1418" w:type="dxa"/>
          </w:tcPr>
          <w:p w14:paraId="6DE0152A" w14:textId="2A69BA1C"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6,600</w:t>
            </w:r>
          </w:p>
        </w:tc>
        <w:tc>
          <w:tcPr>
            <w:tcW w:w="1530" w:type="dxa"/>
          </w:tcPr>
          <w:p w14:paraId="4898E80A"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0667B6A9" w14:textId="77777777" w:rsidTr="006E552C">
        <w:tc>
          <w:tcPr>
            <w:tcW w:w="704" w:type="dxa"/>
          </w:tcPr>
          <w:p w14:paraId="0C48EBFA" w14:textId="77777777" w:rsidR="006E552C" w:rsidRPr="002F1810" w:rsidRDefault="006E552C" w:rsidP="006E552C">
            <w:pPr>
              <w:rPr>
                <w:rFonts w:ascii="MiSans Normal" w:eastAsia="MiSans Normal" w:hAnsi="MiSans Normal"/>
                <w:sz w:val="19"/>
                <w:szCs w:val="19"/>
                <w:lang w:val="en-US"/>
              </w:rPr>
            </w:pPr>
          </w:p>
        </w:tc>
        <w:tc>
          <w:tcPr>
            <w:tcW w:w="6804" w:type="dxa"/>
          </w:tcPr>
          <w:p w14:paraId="64918DF1" w14:textId="3BC736FE"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Advertising Expenses</w:t>
            </w:r>
          </w:p>
        </w:tc>
        <w:tc>
          <w:tcPr>
            <w:tcW w:w="1418" w:type="dxa"/>
          </w:tcPr>
          <w:p w14:paraId="3EFF3243" w14:textId="2BBF6233"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980</w:t>
            </w:r>
          </w:p>
        </w:tc>
        <w:tc>
          <w:tcPr>
            <w:tcW w:w="1530" w:type="dxa"/>
          </w:tcPr>
          <w:p w14:paraId="5F381AC4"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4F58C4A2" w14:textId="77777777" w:rsidTr="006E552C">
        <w:tc>
          <w:tcPr>
            <w:tcW w:w="704" w:type="dxa"/>
          </w:tcPr>
          <w:p w14:paraId="53D7229F" w14:textId="77777777" w:rsidR="006E552C" w:rsidRPr="002F1810" w:rsidRDefault="006E552C" w:rsidP="006E552C">
            <w:pPr>
              <w:rPr>
                <w:rFonts w:ascii="MiSans Normal" w:eastAsia="MiSans Normal" w:hAnsi="MiSans Normal"/>
                <w:sz w:val="19"/>
                <w:szCs w:val="19"/>
                <w:lang w:val="en-US"/>
              </w:rPr>
            </w:pPr>
          </w:p>
        </w:tc>
        <w:tc>
          <w:tcPr>
            <w:tcW w:w="6804" w:type="dxa"/>
          </w:tcPr>
          <w:p w14:paraId="7F58148F" w14:textId="08DBA601"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Carriage Inwards</w:t>
            </w:r>
          </w:p>
        </w:tc>
        <w:tc>
          <w:tcPr>
            <w:tcW w:w="1418" w:type="dxa"/>
          </w:tcPr>
          <w:p w14:paraId="7119BA3E" w14:textId="4FB14D79"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1,040</w:t>
            </w:r>
          </w:p>
        </w:tc>
        <w:tc>
          <w:tcPr>
            <w:tcW w:w="1530" w:type="dxa"/>
          </w:tcPr>
          <w:p w14:paraId="030AC5F4"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4421F89C" w14:textId="77777777" w:rsidTr="006E552C">
        <w:tc>
          <w:tcPr>
            <w:tcW w:w="704" w:type="dxa"/>
          </w:tcPr>
          <w:p w14:paraId="1B7C4E07" w14:textId="77777777" w:rsidR="006E552C" w:rsidRPr="002F1810" w:rsidRDefault="006E552C" w:rsidP="006E552C">
            <w:pPr>
              <w:rPr>
                <w:rFonts w:ascii="MiSans Normal" w:eastAsia="MiSans Normal" w:hAnsi="MiSans Normal"/>
                <w:sz w:val="19"/>
                <w:szCs w:val="19"/>
                <w:lang w:val="en-US"/>
              </w:rPr>
            </w:pPr>
          </w:p>
        </w:tc>
        <w:tc>
          <w:tcPr>
            <w:tcW w:w="6804" w:type="dxa"/>
          </w:tcPr>
          <w:p w14:paraId="0ACA1E7D" w14:textId="419D39DE"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Bad Debts</w:t>
            </w:r>
          </w:p>
        </w:tc>
        <w:tc>
          <w:tcPr>
            <w:tcW w:w="1418" w:type="dxa"/>
          </w:tcPr>
          <w:p w14:paraId="070060E1" w14:textId="77429D01"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380</w:t>
            </w:r>
          </w:p>
        </w:tc>
        <w:tc>
          <w:tcPr>
            <w:tcW w:w="1530" w:type="dxa"/>
          </w:tcPr>
          <w:p w14:paraId="34914572"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3D7B0477" w14:textId="77777777" w:rsidTr="006E552C">
        <w:tc>
          <w:tcPr>
            <w:tcW w:w="704" w:type="dxa"/>
          </w:tcPr>
          <w:p w14:paraId="664B5C79" w14:textId="77777777" w:rsidR="006E552C" w:rsidRPr="002F1810" w:rsidRDefault="006E552C" w:rsidP="006E552C">
            <w:pPr>
              <w:rPr>
                <w:rFonts w:ascii="MiSans Normal" w:eastAsia="MiSans Normal" w:hAnsi="MiSans Normal"/>
                <w:sz w:val="19"/>
                <w:szCs w:val="19"/>
                <w:lang w:val="en-US"/>
              </w:rPr>
            </w:pPr>
          </w:p>
        </w:tc>
        <w:tc>
          <w:tcPr>
            <w:tcW w:w="6804" w:type="dxa"/>
          </w:tcPr>
          <w:p w14:paraId="74278C0F" w14:textId="2259EE32"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Water And Electricity</w:t>
            </w:r>
          </w:p>
        </w:tc>
        <w:tc>
          <w:tcPr>
            <w:tcW w:w="1418" w:type="dxa"/>
          </w:tcPr>
          <w:p w14:paraId="2C351030" w14:textId="2350A965"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3,440</w:t>
            </w:r>
          </w:p>
        </w:tc>
        <w:tc>
          <w:tcPr>
            <w:tcW w:w="1530" w:type="dxa"/>
          </w:tcPr>
          <w:p w14:paraId="0ABADB48"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0A1F222F" w14:textId="77777777" w:rsidTr="006E552C">
        <w:tc>
          <w:tcPr>
            <w:tcW w:w="704" w:type="dxa"/>
          </w:tcPr>
          <w:p w14:paraId="3367229F" w14:textId="77777777" w:rsidR="006E552C" w:rsidRPr="002F1810" w:rsidRDefault="006E552C" w:rsidP="006E552C">
            <w:pPr>
              <w:rPr>
                <w:rFonts w:ascii="MiSans Normal" w:eastAsia="MiSans Normal" w:hAnsi="MiSans Normal"/>
                <w:sz w:val="19"/>
                <w:szCs w:val="19"/>
                <w:lang w:val="en-US"/>
              </w:rPr>
            </w:pPr>
          </w:p>
        </w:tc>
        <w:tc>
          <w:tcPr>
            <w:tcW w:w="6804" w:type="dxa"/>
          </w:tcPr>
          <w:p w14:paraId="16A7FBFD" w14:textId="78843345"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Discounts</w:t>
            </w:r>
          </w:p>
        </w:tc>
        <w:tc>
          <w:tcPr>
            <w:tcW w:w="1418" w:type="dxa"/>
          </w:tcPr>
          <w:p w14:paraId="457AE4AA" w14:textId="324ECE86"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460</w:t>
            </w:r>
          </w:p>
        </w:tc>
        <w:tc>
          <w:tcPr>
            <w:tcW w:w="1530" w:type="dxa"/>
          </w:tcPr>
          <w:p w14:paraId="16A319BD" w14:textId="57BB4483"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280</w:t>
            </w:r>
          </w:p>
        </w:tc>
      </w:tr>
      <w:tr w:rsidR="006E552C" w:rsidRPr="002F1810" w14:paraId="7E6C599C" w14:textId="77777777" w:rsidTr="006E552C">
        <w:tc>
          <w:tcPr>
            <w:tcW w:w="704" w:type="dxa"/>
          </w:tcPr>
          <w:p w14:paraId="676F133A" w14:textId="77777777" w:rsidR="006E552C" w:rsidRPr="002F1810" w:rsidRDefault="006E552C" w:rsidP="006E552C">
            <w:pPr>
              <w:rPr>
                <w:rFonts w:ascii="MiSans Normal" w:eastAsia="MiSans Normal" w:hAnsi="MiSans Normal"/>
                <w:sz w:val="19"/>
                <w:szCs w:val="19"/>
                <w:lang w:val="en-US"/>
              </w:rPr>
            </w:pPr>
          </w:p>
        </w:tc>
        <w:tc>
          <w:tcPr>
            <w:tcW w:w="6804" w:type="dxa"/>
          </w:tcPr>
          <w:p w14:paraId="2B419414" w14:textId="2DB53CE8"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Capital</w:t>
            </w:r>
          </w:p>
        </w:tc>
        <w:tc>
          <w:tcPr>
            <w:tcW w:w="1418" w:type="dxa"/>
          </w:tcPr>
          <w:p w14:paraId="0DDA8E59" w14:textId="77777777" w:rsidR="006E552C" w:rsidRPr="002F1810" w:rsidRDefault="006E552C" w:rsidP="002F1810">
            <w:pPr>
              <w:jc w:val="right"/>
              <w:rPr>
                <w:rFonts w:ascii="MiSans Normal" w:eastAsia="MiSans Normal" w:hAnsi="MiSans Normal"/>
                <w:sz w:val="19"/>
                <w:szCs w:val="19"/>
                <w:lang w:val="en-US"/>
              </w:rPr>
            </w:pPr>
          </w:p>
        </w:tc>
        <w:tc>
          <w:tcPr>
            <w:tcW w:w="1530" w:type="dxa"/>
          </w:tcPr>
          <w:p w14:paraId="14939FF6"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1416A3FA" w14:textId="77777777" w:rsidTr="006E552C">
        <w:tc>
          <w:tcPr>
            <w:tcW w:w="704" w:type="dxa"/>
          </w:tcPr>
          <w:p w14:paraId="1DB6AD2F" w14:textId="77777777" w:rsidR="006E552C" w:rsidRPr="002F1810" w:rsidRDefault="006E552C" w:rsidP="006E552C">
            <w:pPr>
              <w:rPr>
                <w:rFonts w:ascii="MiSans Normal" w:eastAsia="MiSans Normal" w:hAnsi="MiSans Normal"/>
                <w:sz w:val="19"/>
                <w:szCs w:val="19"/>
                <w:lang w:val="en-US"/>
              </w:rPr>
            </w:pPr>
          </w:p>
        </w:tc>
        <w:tc>
          <w:tcPr>
            <w:tcW w:w="6804" w:type="dxa"/>
          </w:tcPr>
          <w:p w14:paraId="041EB321" w14:textId="217CC841"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 xml:space="preserve">    Long</w:t>
            </w:r>
          </w:p>
        </w:tc>
        <w:tc>
          <w:tcPr>
            <w:tcW w:w="1418" w:type="dxa"/>
          </w:tcPr>
          <w:p w14:paraId="28CA9E4E" w14:textId="77777777" w:rsidR="006E552C" w:rsidRPr="002F1810" w:rsidRDefault="006E552C" w:rsidP="002F1810">
            <w:pPr>
              <w:jc w:val="right"/>
              <w:rPr>
                <w:rFonts w:ascii="MiSans Normal" w:eastAsia="MiSans Normal" w:hAnsi="MiSans Normal"/>
                <w:sz w:val="19"/>
                <w:szCs w:val="19"/>
                <w:lang w:val="en-US"/>
              </w:rPr>
            </w:pPr>
          </w:p>
        </w:tc>
        <w:tc>
          <w:tcPr>
            <w:tcW w:w="1530" w:type="dxa"/>
          </w:tcPr>
          <w:p w14:paraId="0027DB59" w14:textId="23DBE281"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48,000</w:t>
            </w:r>
          </w:p>
        </w:tc>
      </w:tr>
      <w:tr w:rsidR="006E552C" w:rsidRPr="002F1810" w14:paraId="11B10F22" w14:textId="77777777" w:rsidTr="006E552C">
        <w:tc>
          <w:tcPr>
            <w:tcW w:w="704" w:type="dxa"/>
          </w:tcPr>
          <w:p w14:paraId="439D5B9A" w14:textId="77777777" w:rsidR="006E552C" w:rsidRPr="002F1810" w:rsidRDefault="006E552C" w:rsidP="006E552C">
            <w:pPr>
              <w:rPr>
                <w:rFonts w:ascii="MiSans Normal" w:eastAsia="MiSans Normal" w:hAnsi="MiSans Normal"/>
                <w:sz w:val="19"/>
                <w:szCs w:val="19"/>
                <w:lang w:val="en-US"/>
              </w:rPr>
            </w:pPr>
          </w:p>
        </w:tc>
        <w:tc>
          <w:tcPr>
            <w:tcW w:w="6804" w:type="dxa"/>
          </w:tcPr>
          <w:p w14:paraId="06D00A7B" w14:textId="2C56FBA6"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 xml:space="preserve">    Short</w:t>
            </w:r>
          </w:p>
        </w:tc>
        <w:tc>
          <w:tcPr>
            <w:tcW w:w="1418" w:type="dxa"/>
          </w:tcPr>
          <w:p w14:paraId="762ECD13" w14:textId="77777777" w:rsidR="006E552C" w:rsidRPr="002F1810" w:rsidRDefault="006E552C" w:rsidP="002F1810">
            <w:pPr>
              <w:jc w:val="right"/>
              <w:rPr>
                <w:rFonts w:ascii="MiSans Normal" w:eastAsia="MiSans Normal" w:hAnsi="MiSans Normal"/>
                <w:sz w:val="19"/>
                <w:szCs w:val="19"/>
                <w:lang w:val="en-US"/>
              </w:rPr>
            </w:pPr>
          </w:p>
        </w:tc>
        <w:tc>
          <w:tcPr>
            <w:tcW w:w="1530" w:type="dxa"/>
          </w:tcPr>
          <w:p w14:paraId="7C7E3B2C" w14:textId="65E70C05"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32,000</w:t>
            </w:r>
          </w:p>
        </w:tc>
      </w:tr>
      <w:tr w:rsidR="006E552C" w:rsidRPr="002F1810" w14:paraId="531F680B" w14:textId="77777777" w:rsidTr="006E552C">
        <w:tc>
          <w:tcPr>
            <w:tcW w:w="704" w:type="dxa"/>
          </w:tcPr>
          <w:p w14:paraId="509E407A" w14:textId="77777777" w:rsidR="006E552C" w:rsidRPr="002F1810" w:rsidRDefault="006E552C" w:rsidP="006E552C">
            <w:pPr>
              <w:rPr>
                <w:rFonts w:ascii="MiSans Normal" w:eastAsia="MiSans Normal" w:hAnsi="MiSans Normal"/>
                <w:sz w:val="19"/>
                <w:szCs w:val="19"/>
                <w:lang w:val="en-US"/>
              </w:rPr>
            </w:pPr>
          </w:p>
        </w:tc>
        <w:tc>
          <w:tcPr>
            <w:tcW w:w="6804" w:type="dxa"/>
          </w:tcPr>
          <w:p w14:paraId="621C59D7" w14:textId="6F7F510B"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Drawings</w:t>
            </w:r>
          </w:p>
        </w:tc>
        <w:tc>
          <w:tcPr>
            <w:tcW w:w="1418" w:type="dxa"/>
          </w:tcPr>
          <w:p w14:paraId="74AF7EEB" w14:textId="77777777" w:rsidR="006E552C" w:rsidRPr="002F1810" w:rsidRDefault="006E552C" w:rsidP="002F1810">
            <w:pPr>
              <w:jc w:val="right"/>
              <w:rPr>
                <w:rFonts w:ascii="MiSans Normal" w:eastAsia="MiSans Normal" w:hAnsi="MiSans Normal"/>
                <w:sz w:val="19"/>
                <w:szCs w:val="19"/>
                <w:lang w:val="en-US"/>
              </w:rPr>
            </w:pPr>
          </w:p>
        </w:tc>
        <w:tc>
          <w:tcPr>
            <w:tcW w:w="1530" w:type="dxa"/>
          </w:tcPr>
          <w:p w14:paraId="0BA4FA35"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1AC3645B" w14:textId="77777777" w:rsidTr="006E552C">
        <w:tc>
          <w:tcPr>
            <w:tcW w:w="704" w:type="dxa"/>
          </w:tcPr>
          <w:p w14:paraId="76E74EF3" w14:textId="77777777" w:rsidR="006E552C" w:rsidRPr="002F1810" w:rsidRDefault="006E552C" w:rsidP="006E552C">
            <w:pPr>
              <w:rPr>
                <w:rFonts w:ascii="MiSans Normal" w:eastAsia="MiSans Normal" w:hAnsi="MiSans Normal"/>
                <w:sz w:val="19"/>
                <w:szCs w:val="19"/>
                <w:lang w:val="en-US"/>
              </w:rPr>
            </w:pPr>
          </w:p>
        </w:tc>
        <w:tc>
          <w:tcPr>
            <w:tcW w:w="6804" w:type="dxa"/>
          </w:tcPr>
          <w:p w14:paraId="22CCC221" w14:textId="50973553"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 xml:space="preserve">    Long</w:t>
            </w:r>
          </w:p>
        </w:tc>
        <w:tc>
          <w:tcPr>
            <w:tcW w:w="1418" w:type="dxa"/>
          </w:tcPr>
          <w:p w14:paraId="24403D96" w14:textId="2352CA95"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7,000</w:t>
            </w:r>
          </w:p>
        </w:tc>
        <w:tc>
          <w:tcPr>
            <w:tcW w:w="1530" w:type="dxa"/>
          </w:tcPr>
          <w:p w14:paraId="4F8775EA"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46060641" w14:textId="77777777" w:rsidTr="006E552C">
        <w:tc>
          <w:tcPr>
            <w:tcW w:w="704" w:type="dxa"/>
          </w:tcPr>
          <w:p w14:paraId="54EDC26F" w14:textId="77777777" w:rsidR="006E552C" w:rsidRPr="002F1810" w:rsidRDefault="006E552C" w:rsidP="006E552C">
            <w:pPr>
              <w:rPr>
                <w:rFonts w:ascii="MiSans Normal" w:eastAsia="MiSans Normal" w:hAnsi="MiSans Normal"/>
                <w:sz w:val="19"/>
                <w:szCs w:val="19"/>
                <w:lang w:val="en-US"/>
              </w:rPr>
            </w:pPr>
          </w:p>
        </w:tc>
        <w:tc>
          <w:tcPr>
            <w:tcW w:w="6804" w:type="dxa"/>
          </w:tcPr>
          <w:p w14:paraId="40491230" w14:textId="759DD0E7" w:rsidR="006E552C" w:rsidRPr="002F1810" w:rsidRDefault="006E552C" w:rsidP="006E552C">
            <w:pPr>
              <w:rPr>
                <w:rFonts w:ascii="MiSans Normal" w:eastAsia="MiSans Normal" w:hAnsi="MiSans Normal"/>
                <w:sz w:val="19"/>
                <w:szCs w:val="19"/>
                <w:lang w:val="en-US"/>
              </w:rPr>
            </w:pPr>
            <w:r w:rsidRPr="002F1810">
              <w:rPr>
                <w:rFonts w:ascii="MiSans Normal" w:eastAsia="MiSans Normal" w:hAnsi="MiSans Normal"/>
                <w:sz w:val="19"/>
                <w:szCs w:val="19"/>
                <w:lang w:val="en-US"/>
              </w:rPr>
              <w:t xml:space="preserve">    Short</w:t>
            </w:r>
          </w:p>
        </w:tc>
        <w:tc>
          <w:tcPr>
            <w:tcW w:w="1418" w:type="dxa"/>
            <w:tcBorders>
              <w:bottom w:val="single" w:sz="12" w:space="0" w:color="auto"/>
            </w:tcBorders>
          </w:tcPr>
          <w:p w14:paraId="4E4B8A90" w14:textId="4F48D009"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8,000</w:t>
            </w:r>
          </w:p>
        </w:tc>
        <w:tc>
          <w:tcPr>
            <w:tcW w:w="1530" w:type="dxa"/>
            <w:tcBorders>
              <w:bottom w:val="single" w:sz="12" w:space="0" w:color="auto"/>
            </w:tcBorders>
          </w:tcPr>
          <w:p w14:paraId="430F88F5" w14:textId="77777777" w:rsidR="006E552C" w:rsidRPr="002F1810" w:rsidRDefault="006E552C" w:rsidP="002F1810">
            <w:pPr>
              <w:jc w:val="right"/>
              <w:rPr>
                <w:rFonts w:ascii="MiSans Normal" w:eastAsia="MiSans Normal" w:hAnsi="MiSans Normal"/>
                <w:sz w:val="19"/>
                <w:szCs w:val="19"/>
                <w:lang w:val="en-US"/>
              </w:rPr>
            </w:pPr>
          </w:p>
        </w:tc>
      </w:tr>
      <w:tr w:rsidR="006E552C" w:rsidRPr="002F1810" w14:paraId="2DF2BD3A" w14:textId="77777777" w:rsidTr="006E552C">
        <w:tc>
          <w:tcPr>
            <w:tcW w:w="704" w:type="dxa"/>
          </w:tcPr>
          <w:p w14:paraId="702AD0FD" w14:textId="77777777" w:rsidR="006E552C" w:rsidRPr="002F1810" w:rsidRDefault="006E552C" w:rsidP="006E552C">
            <w:pPr>
              <w:rPr>
                <w:rFonts w:ascii="MiSans Normal" w:eastAsia="MiSans Normal" w:hAnsi="MiSans Normal"/>
                <w:sz w:val="19"/>
                <w:szCs w:val="19"/>
                <w:lang w:val="en-US"/>
              </w:rPr>
            </w:pPr>
          </w:p>
        </w:tc>
        <w:tc>
          <w:tcPr>
            <w:tcW w:w="6804" w:type="dxa"/>
          </w:tcPr>
          <w:p w14:paraId="35A070E6" w14:textId="77777777" w:rsidR="006E552C" w:rsidRPr="002F1810" w:rsidRDefault="006E552C" w:rsidP="006E552C">
            <w:pPr>
              <w:rPr>
                <w:rFonts w:ascii="MiSans Normal" w:eastAsia="MiSans Normal" w:hAnsi="MiSans Normal"/>
                <w:sz w:val="19"/>
                <w:szCs w:val="19"/>
                <w:lang w:val="en-US"/>
              </w:rPr>
            </w:pPr>
          </w:p>
        </w:tc>
        <w:tc>
          <w:tcPr>
            <w:tcW w:w="1418" w:type="dxa"/>
            <w:tcBorders>
              <w:top w:val="single" w:sz="12" w:space="0" w:color="auto"/>
              <w:bottom w:val="double" w:sz="12" w:space="0" w:color="auto"/>
            </w:tcBorders>
          </w:tcPr>
          <w:p w14:paraId="6717EC1D" w14:textId="35941DDC"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418,480</w:t>
            </w:r>
          </w:p>
        </w:tc>
        <w:tc>
          <w:tcPr>
            <w:tcW w:w="1530" w:type="dxa"/>
            <w:tcBorders>
              <w:top w:val="single" w:sz="12" w:space="0" w:color="auto"/>
              <w:bottom w:val="double" w:sz="12" w:space="0" w:color="auto"/>
            </w:tcBorders>
          </w:tcPr>
          <w:p w14:paraId="1BC9F618" w14:textId="67712A30" w:rsidR="006E552C" w:rsidRPr="002F1810" w:rsidRDefault="006E552C" w:rsidP="002F1810">
            <w:pPr>
              <w:jc w:val="right"/>
              <w:rPr>
                <w:rFonts w:ascii="MiSans Normal" w:eastAsia="MiSans Normal" w:hAnsi="MiSans Normal"/>
                <w:sz w:val="19"/>
                <w:szCs w:val="19"/>
                <w:lang w:val="en-US"/>
              </w:rPr>
            </w:pPr>
            <w:r w:rsidRPr="002F1810">
              <w:rPr>
                <w:rFonts w:ascii="MiSans Normal" w:eastAsia="MiSans Normal" w:hAnsi="MiSans Normal"/>
                <w:sz w:val="19"/>
                <w:szCs w:val="19"/>
                <w:lang w:val="en-US"/>
              </w:rPr>
              <w:t>418,480</w:t>
            </w:r>
          </w:p>
        </w:tc>
      </w:tr>
    </w:tbl>
    <w:p w14:paraId="0D8F2578" w14:textId="1648D17F" w:rsidR="006E552C" w:rsidRPr="002F1810" w:rsidRDefault="006E552C" w:rsidP="006E552C">
      <w:pPr>
        <w:rPr>
          <w:rFonts w:ascii="MiSans Normal" w:eastAsia="MiSans Normal" w:hAnsi="MiSans Normal"/>
          <w:sz w:val="19"/>
          <w:szCs w:val="19"/>
          <w:lang w:val="en-US"/>
        </w:rPr>
      </w:pPr>
    </w:p>
    <w:p w14:paraId="0299A1DF" w14:textId="63CDB202" w:rsidR="00DF1125" w:rsidRPr="002F1810" w:rsidRDefault="00DF1125" w:rsidP="006E552C">
      <w:pP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The following matters were to be taken into consideration:</w:t>
      </w:r>
    </w:p>
    <w:p w14:paraId="6532D3A3" w14:textId="6D79EFDB" w:rsidR="00DF1125" w:rsidRPr="002F1810" w:rsidRDefault="00DF1125" w:rsidP="002F1810">
      <w:pPr>
        <w:pStyle w:val="ListParagraph"/>
        <w:numPr>
          <w:ilvl w:val="0"/>
          <w:numId w:val="2"/>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Inventory on 30 June Year 6 was valued at RM10,130.</w:t>
      </w:r>
    </w:p>
    <w:p w14:paraId="79F38BF5" w14:textId="7CB91258" w:rsidR="00DF1125" w:rsidRPr="002F1810" w:rsidRDefault="00DF1125" w:rsidP="002F1810">
      <w:pPr>
        <w:pStyle w:val="ListParagraph"/>
        <w:numPr>
          <w:ilvl w:val="0"/>
          <w:numId w:val="2"/>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The insurance expenses had been paid for 12 months ended 30 September Year 6.</w:t>
      </w:r>
    </w:p>
    <w:p w14:paraId="6301C050" w14:textId="71A48F05" w:rsidR="00DF1125" w:rsidRPr="002F1810" w:rsidRDefault="00DF1125" w:rsidP="002F1810">
      <w:pPr>
        <w:pStyle w:val="ListParagraph"/>
        <w:numPr>
          <w:ilvl w:val="0"/>
          <w:numId w:val="2"/>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RM100 was owed for the advertising expenses.</w:t>
      </w:r>
    </w:p>
    <w:p w14:paraId="510F9798" w14:textId="7E3D4941" w:rsidR="00DF1125" w:rsidRPr="002F1810" w:rsidRDefault="00DF1125" w:rsidP="002F1810">
      <w:pPr>
        <w:pStyle w:val="ListParagraph"/>
        <w:numPr>
          <w:ilvl w:val="0"/>
          <w:numId w:val="2"/>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Office equipment and motor vehicles were to be depreciated at 20% per annum.</w:t>
      </w:r>
    </w:p>
    <w:p w14:paraId="10303854" w14:textId="200DFC61" w:rsidR="00DF1125" w:rsidRPr="002F1810" w:rsidRDefault="00DF1125" w:rsidP="002F1810">
      <w:pPr>
        <w:pStyle w:val="ListParagraph"/>
        <w:numPr>
          <w:ilvl w:val="0"/>
          <w:numId w:val="2"/>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Short was to receive a commission of 1% on gross sales. The sum had not yet been included in the account.</w:t>
      </w:r>
    </w:p>
    <w:p w14:paraId="32947D42" w14:textId="507CD4A4" w:rsidR="006E552C" w:rsidRPr="002F1810" w:rsidRDefault="006E552C" w:rsidP="006E552C">
      <w:pPr>
        <w:rPr>
          <w:rFonts w:ascii="MiSans Normal" w:eastAsia="MiSans Normal" w:hAnsi="MiSans Normal"/>
          <w:sz w:val="19"/>
          <w:szCs w:val="19"/>
          <w:lang w:val="en-US"/>
        </w:rPr>
      </w:pPr>
    </w:p>
    <w:p w14:paraId="5FF665EA" w14:textId="2B0A39A5" w:rsidR="002F1810" w:rsidRPr="002F1810" w:rsidRDefault="002F1810" w:rsidP="006E552C">
      <w:pPr>
        <w:rPr>
          <w:rFonts w:ascii="MiSans Normal" w:eastAsia="MiSans Normal" w:hAnsi="MiSans Normal"/>
          <w:b/>
          <w:bCs/>
          <w:sz w:val="19"/>
          <w:szCs w:val="19"/>
          <w:lang w:val="en-US"/>
        </w:rPr>
      </w:pPr>
      <w:r w:rsidRPr="002F1810">
        <w:rPr>
          <w:rFonts w:ascii="MiSans Normal" w:eastAsia="MiSans Normal" w:hAnsi="MiSans Normal"/>
          <w:b/>
          <w:bCs/>
          <w:sz w:val="19"/>
          <w:szCs w:val="19"/>
          <w:lang w:val="en-US"/>
        </w:rPr>
        <w:t>You are required to prepare:</w:t>
      </w:r>
    </w:p>
    <w:p w14:paraId="42524868" w14:textId="0455DF02" w:rsidR="002F1810" w:rsidRPr="002F1810" w:rsidRDefault="002F1810" w:rsidP="002F1810">
      <w:pPr>
        <w:pStyle w:val="ListParagraph"/>
        <w:numPr>
          <w:ilvl w:val="0"/>
          <w:numId w:val="3"/>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Partnership Income Statement for the Year Ended 30 June Year 6</w:t>
      </w:r>
    </w:p>
    <w:p w14:paraId="6D590FDD" w14:textId="5ADDF8D1" w:rsidR="002F1810" w:rsidRPr="002F1810" w:rsidRDefault="002F1810" w:rsidP="002F1810">
      <w:pPr>
        <w:pStyle w:val="ListParagraph"/>
        <w:numPr>
          <w:ilvl w:val="0"/>
          <w:numId w:val="3"/>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Current account of Long and Short in columnar form.</w:t>
      </w:r>
    </w:p>
    <w:p w14:paraId="7A3D88A4" w14:textId="0D522A9F" w:rsidR="002F1810" w:rsidRPr="002F1810" w:rsidRDefault="002F1810" w:rsidP="002F1810">
      <w:pPr>
        <w:pStyle w:val="ListParagraph"/>
        <w:numPr>
          <w:ilvl w:val="0"/>
          <w:numId w:val="3"/>
        </w:numPr>
        <w:ind w:left="567" w:hanging="425"/>
        <w:rPr>
          <w:rFonts w:ascii="MiSans Normal" w:eastAsia="MiSans Normal" w:hAnsi="MiSans Normal"/>
          <w:sz w:val="19"/>
          <w:szCs w:val="19"/>
          <w:lang w:val="en-US"/>
        </w:rPr>
      </w:pPr>
      <w:r w:rsidRPr="002F1810">
        <w:rPr>
          <w:rFonts w:ascii="MiSans Normal" w:eastAsia="MiSans Normal" w:hAnsi="MiSans Normal"/>
          <w:sz w:val="19"/>
          <w:szCs w:val="19"/>
          <w:lang w:val="en-US"/>
        </w:rPr>
        <w:t xml:space="preserve">Partnership Statement of Financial Position as </w:t>
      </w:r>
      <w:proofErr w:type="gramStart"/>
      <w:r w:rsidRPr="002F1810">
        <w:rPr>
          <w:rFonts w:ascii="MiSans Normal" w:eastAsia="MiSans Normal" w:hAnsi="MiSans Normal"/>
          <w:sz w:val="19"/>
          <w:szCs w:val="19"/>
          <w:lang w:val="en-US"/>
        </w:rPr>
        <w:t>at</w:t>
      </w:r>
      <w:proofErr w:type="gramEnd"/>
      <w:r w:rsidRPr="002F1810">
        <w:rPr>
          <w:rFonts w:ascii="MiSans Normal" w:eastAsia="MiSans Normal" w:hAnsi="MiSans Normal"/>
          <w:sz w:val="19"/>
          <w:szCs w:val="19"/>
          <w:lang w:val="en-US"/>
        </w:rPr>
        <w:t xml:space="preserve"> 30 June Year 6.</w:t>
      </w:r>
    </w:p>
    <w:sectPr w:rsidR="002F1810" w:rsidRPr="002F1810" w:rsidSect="006E55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4A4"/>
    <w:multiLevelType w:val="hybridMultilevel"/>
    <w:tmpl w:val="CF14B77C"/>
    <w:lvl w:ilvl="0" w:tplc="2AA689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34A8D"/>
    <w:multiLevelType w:val="hybridMultilevel"/>
    <w:tmpl w:val="1728B922"/>
    <w:lvl w:ilvl="0" w:tplc="7D127F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432DF5"/>
    <w:multiLevelType w:val="hybridMultilevel"/>
    <w:tmpl w:val="5CACACC8"/>
    <w:lvl w:ilvl="0" w:tplc="FABA54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950364">
    <w:abstractNumId w:val="0"/>
  </w:num>
  <w:num w:numId="2" w16cid:durableId="1088430181">
    <w:abstractNumId w:val="2"/>
  </w:num>
  <w:num w:numId="3" w16cid:durableId="1537155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2C"/>
    <w:rsid w:val="002F1810"/>
    <w:rsid w:val="006E552C"/>
    <w:rsid w:val="00A921C9"/>
    <w:rsid w:val="00DF1125"/>
    <w:rsid w:val="00EB491B"/>
    <w:rsid w:val="00ED26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47B3"/>
  <w15:chartTrackingRefBased/>
  <w15:docId w15:val="{E40B4BCC-5831-E240-B94A-8ED07705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2C"/>
    <w:pPr>
      <w:ind w:left="720"/>
      <w:contextualSpacing/>
    </w:pPr>
  </w:style>
  <w:style w:type="table" w:styleId="TableGrid">
    <w:name w:val="Table Grid"/>
    <w:basedOn w:val="TableNormal"/>
    <w:uiPriority w:val="39"/>
    <w:rsid w:val="006E5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2023-02-15T07:32:00Z</dcterms:created>
  <dcterms:modified xsi:type="dcterms:W3CDTF">2023-02-15T07:49:00Z</dcterms:modified>
</cp:coreProperties>
</file>