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9B7" w14:textId="08E8A7EC" w:rsidR="008C02CC" w:rsidRPr="00F13060" w:rsidRDefault="00F13060">
      <w:p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至高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真诚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原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则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：投保人在申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请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保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险时应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呈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报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所知道及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应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知道的事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实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，而承包人/保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险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公司也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须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向投保人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详细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解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释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保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险条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款。</w:t>
      </w:r>
    </w:p>
    <w:p w14:paraId="7FD3A6CB" w14:textId="5C9FFABF" w:rsidR="00F13060" w:rsidRPr="00F13060" w:rsidRDefault="00F13060">
      <w:p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可保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权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益原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则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：投保人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对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所投保的生命或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财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物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须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具有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实际经济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利益或法定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关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系，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当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有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关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生命或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财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物遭受事故，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会对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投保人造成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损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失。</w:t>
      </w:r>
    </w:p>
    <w:p w14:paraId="0ECB0981" w14:textId="6038043B" w:rsidR="00F13060" w:rsidRPr="00F13060" w:rsidRDefault="00F13060">
      <w:p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近因原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则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：指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导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致事故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发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生或造成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损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失的直接原因。保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险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公司只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对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承保的近因作出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赔偿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，而不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赔偿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承保范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围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外的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损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失。</w:t>
      </w:r>
    </w:p>
    <w:p w14:paraId="0A15C42D" w14:textId="1EA220F6" w:rsidR="00F13060" w:rsidRDefault="00F13060">
      <w:p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赔偿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原</w:t>
      </w:r>
      <w:r w:rsidRPr="00F13060">
        <w:rPr>
          <w:rFonts w:ascii="MiSans Normal" w:eastAsia="MiSans Normal" w:hAnsi="MiSans Normal" w:cs="PingFang TC" w:hint="eastAsia"/>
          <w:sz w:val="22"/>
          <w:szCs w:val="22"/>
          <w:lang w:val="en-US"/>
        </w:rPr>
        <w:t>则</w:t>
      </w:r>
      <w:r w:rsidRPr="00F13060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：</w:t>
      </w:r>
      <w:r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指在</w:t>
      </w:r>
      <w:r w:rsidR="00927A7D"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保险</w:t>
      </w:r>
      <w:r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合约生效期间，保险公司只对投保人的实际损失作出赔偿，尽量让投保人恢复原有经济状况，而不是让投保人从中赚取利益（人寿保险和个人意外保险除外，是按投保额作出赔偿）。</w:t>
      </w:r>
    </w:p>
    <w:p w14:paraId="2718A52A" w14:textId="7B9B4722" w:rsidR="00F13060" w:rsidRDefault="00F13060" w:rsidP="00F13060">
      <w:pPr>
        <w:pStyle w:val="ListParagraph"/>
        <w:numPr>
          <w:ilvl w:val="0"/>
          <w:numId w:val="1"/>
        </w:num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分摊原则：指投保人为同一财产向多家保险公司投保。事故发生时，保险公司会按照各自承保额所占比例作出赔偿，投保人不会获得比实际损失多的赔偿。</w:t>
      </w:r>
    </w:p>
    <w:p w14:paraId="47EE43AD" w14:textId="2081B8A9" w:rsidR="00F13060" w:rsidRPr="00F13060" w:rsidRDefault="00F13060" w:rsidP="00F13060">
      <w:pPr>
        <w:pStyle w:val="ListParagraph"/>
        <w:numPr>
          <w:ilvl w:val="0"/>
          <w:numId w:val="1"/>
        </w:numPr>
        <w:rPr>
          <w:rFonts w:ascii="MiSans Normal" w:eastAsia="MiSans Normal" w:hAnsi="MiSans Normal" w:cs="Microsoft GothicNeo"/>
          <w:sz w:val="22"/>
          <w:szCs w:val="22"/>
          <w:lang w:val="en-US"/>
        </w:rPr>
      </w:pPr>
      <w:r>
        <w:rPr>
          <w:rFonts w:ascii="MiSans Normal" w:eastAsia="MiSans Normal" w:hAnsi="MiSans Normal" w:cs="Microsoft GothicNeo" w:hint="eastAsia"/>
          <w:sz w:val="22"/>
          <w:szCs w:val="22"/>
          <w:lang w:val="en-US"/>
        </w:rPr>
        <w:t>代位求偿原则：为保险公司的权利。当保险公司赔偿被保人所遭受的损失后，有权向造成损失的第三方索赔，防止被保人获得双重利益。</w:t>
      </w:r>
    </w:p>
    <w:sectPr w:rsidR="00F13060" w:rsidRPr="00F1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6865"/>
    <w:multiLevelType w:val="hybridMultilevel"/>
    <w:tmpl w:val="1A86D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3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0"/>
    <w:rsid w:val="00140178"/>
    <w:rsid w:val="005A1852"/>
    <w:rsid w:val="008C02CC"/>
    <w:rsid w:val="00927A7D"/>
    <w:rsid w:val="00A921C9"/>
    <w:rsid w:val="00EB491B"/>
    <w:rsid w:val="00F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A3292"/>
  <w15:chartTrackingRefBased/>
  <w15:docId w15:val="{70B2F401-8EAB-164A-9C98-65436B7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2023-05-10T11:52:00Z</dcterms:created>
  <dcterms:modified xsi:type="dcterms:W3CDTF">2023-05-10T21:22:00Z</dcterms:modified>
</cp:coreProperties>
</file>