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DEEE" w14:textId="5B765607" w:rsidR="00C73195" w:rsidRPr="0002394B" w:rsidRDefault="00C73195" w:rsidP="00D87F84">
      <w:pPr>
        <w:rPr>
          <w:rFonts w:ascii="MiSans Normal" w:eastAsia="MiSans Normal" w:hAnsi="MiSans Normal" w:hint="eastAsia"/>
          <w:b/>
          <w:bCs/>
          <w:sz w:val="28"/>
          <w:szCs w:val="28"/>
          <w:lang w:val="en-US"/>
        </w:rPr>
      </w:pPr>
      <w:r w:rsidRPr="0002394B">
        <w:rPr>
          <w:rFonts w:ascii="MiSans Normal" w:eastAsia="MiSans Normal" w:hAnsi="MiSans Normal" w:hint="eastAsia"/>
          <w:b/>
          <w:bCs/>
          <w:sz w:val="28"/>
          <w:szCs w:val="28"/>
          <w:u w:val="single"/>
          <w:lang w:val="en-US"/>
        </w:rPr>
        <w:t>第</w:t>
      </w:r>
      <w:r w:rsidR="00FA5C05">
        <w:rPr>
          <w:rFonts w:ascii="MiSans Normal" w:eastAsia="MiSans Normal" w:hAnsi="MiSans Normal" w:hint="eastAsia"/>
          <w:b/>
          <w:bCs/>
          <w:sz w:val="28"/>
          <w:szCs w:val="28"/>
          <w:u w:val="single"/>
          <w:lang w:val="en-US"/>
        </w:rPr>
        <w:t>七章 仓库</w:t>
      </w:r>
    </w:p>
    <w:p w14:paraId="3C5449D8" w14:textId="77777777" w:rsidR="00C73195" w:rsidRPr="0039180B" w:rsidRDefault="00C73195">
      <w:pPr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</w:p>
    <w:p w14:paraId="08A1C734" w14:textId="620C0E5B" w:rsidR="00C73195" w:rsidRDefault="00FA5C05" w:rsidP="00C73195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仓库的作用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477"/>
      </w:tblGrid>
      <w:tr w:rsidR="00D4684A" w14:paraId="1716E2FF" w14:textId="77777777" w:rsidTr="00D4684A">
        <w:tc>
          <w:tcPr>
            <w:tcW w:w="3179" w:type="dxa"/>
          </w:tcPr>
          <w:p w14:paraId="7D3CD59F" w14:textId="043F04DB" w:rsidR="001C3FD3" w:rsidRPr="00450955" w:rsidRDefault="00D4684A" w:rsidP="00FA5C05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45095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确保原料或货品持续供应</w:t>
            </w:r>
          </w:p>
        </w:tc>
        <w:tc>
          <w:tcPr>
            <w:tcW w:w="5477" w:type="dxa"/>
          </w:tcPr>
          <w:p w14:paraId="21DC2F7F" w14:textId="01FB15E9" w:rsidR="001C3FD3" w:rsidRDefault="00D4684A" w:rsidP="00FA5C05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仓库提供商人储存原料或货品的便利，商人不必担心制造的货品无处可放，可以持续生产及销售货品，尤其是季节性原料制造商需储存足够的原料供全年使用。</w:t>
            </w:r>
          </w:p>
        </w:tc>
      </w:tr>
      <w:tr w:rsidR="00D4684A" w14:paraId="438623D2" w14:textId="77777777" w:rsidTr="00D4684A">
        <w:tc>
          <w:tcPr>
            <w:tcW w:w="3179" w:type="dxa"/>
          </w:tcPr>
          <w:p w14:paraId="640F0B87" w14:textId="2D696610" w:rsidR="001C3FD3" w:rsidRPr="00450955" w:rsidRDefault="00D4684A" w:rsidP="00FA5C05">
            <w:pPr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45095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稳定原料或货品价格</w:t>
            </w:r>
          </w:p>
        </w:tc>
        <w:tc>
          <w:tcPr>
            <w:tcW w:w="5477" w:type="dxa"/>
          </w:tcPr>
          <w:p w14:paraId="303A3168" w14:textId="5C679CCE" w:rsidR="001C3FD3" w:rsidRDefault="00DE25E2" w:rsidP="00FA5C05">
            <w:pP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原料或货品的供需差距太大会造成价格不稳定，仓库提供商人储存的便利，平衡原料或货品的供需，避免价格剧烈波动</w:t>
            </w:r>
          </w:p>
        </w:tc>
      </w:tr>
      <w:tr w:rsidR="00D4684A" w14:paraId="2E89EF97" w14:textId="77777777" w:rsidTr="00D4684A">
        <w:tc>
          <w:tcPr>
            <w:tcW w:w="3179" w:type="dxa"/>
          </w:tcPr>
          <w:p w14:paraId="0C18FC3E" w14:textId="0A5CB988" w:rsidR="001C3FD3" w:rsidRPr="00450955" w:rsidRDefault="00D4684A" w:rsidP="00FA5C05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45095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确保换料或货品安全</w:t>
            </w:r>
          </w:p>
        </w:tc>
        <w:tc>
          <w:tcPr>
            <w:tcW w:w="5477" w:type="dxa"/>
          </w:tcPr>
          <w:p w14:paraId="35919EE8" w14:textId="32821D56" w:rsidR="001C3FD3" w:rsidRDefault="00DE25E2" w:rsidP="00FA5C05">
            <w:pP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仓库建筑坚固避免货物受日晒雨淋，由防火、防潮、防腐、防鼠等设施，减少货品损坏</w:t>
            </w:r>
          </w:p>
        </w:tc>
      </w:tr>
      <w:tr w:rsidR="00D4684A" w14:paraId="63F6B0B8" w14:textId="77777777" w:rsidTr="00D4684A">
        <w:tc>
          <w:tcPr>
            <w:tcW w:w="3179" w:type="dxa"/>
          </w:tcPr>
          <w:p w14:paraId="7CB94E5E" w14:textId="426721E5" w:rsidR="001C3FD3" w:rsidRPr="00450955" w:rsidRDefault="00D4684A" w:rsidP="00FA5C05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45095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提供场所进行销售前准备工作</w:t>
            </w:r>
          </w:p>
        </w:tc>
        <w:tc>
          <w:tcPr>
            <w:tcW w:w="5477" w:type="dxa"/>
          </w:tcPr>
          <w:p w14:paraId="6C00562B" w14:textId="336B46CE" w:rsidR="001C3FD3" w:rsidRDefault="00DE25E2" w:rsidP="00FA5C05">
            <w:pP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在仓库内进行分量、分类、分级、分装、贴商标及价格</w:t>
            </w:r>
          </w:p>
        </w:tc>
      </w:tr>
      <w:tr w:rsidR="00D4684A" w14:paraId="681EAF0B" w14:textId="77777777" w:rsidTr="00D4684A">
        <w:tc>
          <w:tcPr>
            <w:tcW w:w="3179" w:type="dxa"/>
          </w:tcPr>
          <w:p w14:paraId="09E681DA" w14:textId="1C439885" w:rsidR="001C3FD3" w:rsidRPr="00450955" w:rsidRDefault="00D4684A" w:rsidP="00FA5C05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45095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兼作货品展示室</w:t>
            </w:r>
          </w:p>
        </w:tc>
        <w:tc>
          <w:tcPr>
            <w:tcW w:w="5477" w:type="dxa"/>
          </w:tcPr>
          <w:p w14:paraId="6B103719" w14:textId="7FA98288" w:rsidR="001C3FD3" w:rsidRDefault="00763A64" w:rsidP="00FA5C05">
            <w:pP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直接把仓库当成展示货品的地方，节省货架、装潢、运输成本等费用</w:t>
            </w:r>
          </w:p>
        </w:tc>
      </w:tr>
      <w:tr w:rsidR="00D4684A" w14:paraId="560A5280" w14:textId="77777777" w:rsidTr="00D4684A">
        <w:tc>
          <w:tcPr>
            <w:tcW w:w="3179" w:type="dxa"/>
          </w:tcPr>
          <w:p w14:paraId="7C2E27A9" w14:textId="679C9BF7" w:rsidR="001C3FD3" w:rsidRPr="00450955" w:rsidRDefault="00D4684A" w:rsidP="00FA5C05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45095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利于国际贸易发展</w:t>
            </w:r>
          </w:p>
        </w:tc>
        <w:tc>
          <w:tcPr>
            <w:tcW w:w="5477" w:type="dxa"/>
          </w:tcPr>
          <w:p w14:paraId="11B48977" w14:textId="67F3204B" w:rsidR="001C3FD3" w:rsidRDefault="00763A64" w:rsidP="00FA5C05">
            <w:pP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设在港口或机场附近的仓库提供存放进出口商品的便利</w:t>
            </w:r>
          </w:p>
        </w:tc>
      </w:tr>
    </w:tbl>
    <w:p w14:paraId="5E229995" w14:textId="77777777" w:rsidR="001C3FD3" w:rsidRDefault="001C3FD3" w:rsidP="00FA410E">
      <w:pPr>
        <w:rPr>
          <w:rFonts w:ascii="MiSans Normal" w:eastAsia="MiSans Normal" w:hAnsi="MiSans Normal"/>
          <w:sz w:val="21"/>
          <w:szCs w:val="21"/>
          <w:lang w:val="en-US"/>
        </w:rPr>
      </w:pPr>
    </w:p>
    <w:p w14:paraId="6A1176B0" w14:textId="4E039C9A" w:rsidR="00FA5C05" w:rsidRDefault="00FA5C05" w:rsidP="00FA5C05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仓库的类型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268"/>
        <w:gridCol w:w="1275"/>
        <w:gridCol w:w="1276"/>
        <w:gridCol w:w="2642"/>
      </w:tblGrid>
      <w:tr w:rsidR="002E52B4" w14:paraId="582A77A5" w14:textId="77777777" w:rsidTr="002E52B4">
        <w:tc>
          <w:tcPr>
            <w:tcW w:w="1195" w:type="dxa"/>
          </w:tcPr>
          <w:p w14:paraId="04C2780A" w14:textId="6CF3F8EF" w:rsidR="00FA5C05" w:rsidRPr="00FA5C05" w:rsidRDefault="00FA5C05" w:rsidP="00FA5C05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FA5C0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私人拥有</w:t>
            </w:r>
          </w:p>
        </w:tc>
        <w:tc>
          <w:tcPr>
            <w:tcW w:w="2268" w:type="dxa"/>
          </w:tcPr>
          <w:p w14:paraId="3383D899" w14:textId="29278197" w:rsidR="00FA5C05" w:rsidRPr="00FA5C05" w:rsidRDefault="00FA5C05" w:rsidP="00FA5C05">
            <w:pP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制造</w:t>
            </w:r>
            <w:r w:rsidRPr="00FA5C05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商仓库</w:t>
            </w:r>
          </w:p>
        </w:tc>
        <w:tc>
          <w:tcPr>
            <w:tcW w:w="2551" w:type="dxa"/>
            <w:gridSpan w:val="2"/>
          </w:tcPr>
          <w:p w14:paraId="64192B90" w14:textId="22257940" w:rsidR="00FA5C05" w:rsidRDefault="00FA5C05" w:rsidP="00FA5C05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批发商仓库</w:t>
            </w:r>
          </w:p>
        </w:tc>
        <w:tc>
          <w:tcPr>
            <w:tcW w:w="2642" w:type="dxa"/>
          </w:tcPr>
          <w:p w14:paraId="34A9262E" w14:textId="6C6513C1" w:rsidR="00FA5C05" w:rsidRDefault="00FA5C05" w:rsidP="00FA5C05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零售商仓库</w:t>
            </w:r>
          </w:p>
        </w:tc>
      </w:tr>
      <w:tr w:rsidR="00FA5C05" w14:paraId="05E7886E" w14:textId="77777777" w:rsidTr="002E52B4">
        <w:tc>
          <w:tcPr>
            <w:tcW w:w="1195" w:type="dxa"/>
          </w:tcPr>
          <w:p w14:paraId="703CD2F9" w14:textId="7A180F90" w:rsidR="00FA5C05" w:rsidRPr="00FA5C05" w:rsidRDefault="00FA5C05" w:rsidP="00FA5C05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FA5C0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政府拥有</w:t>
            </w:r>
          </w:p>
        </w:tc>
        <w:tc>
          <w:tcPr>
            <w:tcW w:w="3543" w:type="dxa"/>
            <w:gridSpan w:val="2"/>
          </w:tcPr>
          <w:p w14:paraId="68769915" w14:textId="27843030" w:rsidR="00FA5C05" w:rsidRDefault="00FA5C05" w:rsidP="00FA5C05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公共仓库</w:t>
            </w:r>
          </w:p>
        </w:tc>
        <w:tc>
          <w:tcPr>
            <w:tcW w:w="3918" w:type="dxa"/>
            <w:gridSpan w:val="2"/>
          </w:tcPr>
          <w:p w14:paraId="1078D09B" w14:textId="28BBA2EE" w:rsidR="00FA5C05" w:rsidRDefault="00FA5C05" w:rsidP="00FA5C05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保税仓库</w:t>
            </w:r>
          </w:p>
        </w:tc>
      </w:tr>
    </w:tbl>
    <w:p w14:paraId="7B9B8C5E" w14:textId="77777777" w:rsidR="00FA5C05" w:rsidRPr="00FA5C05" w:rsidRDefault="00FA5C05" w:rsidP="00FA5C05">
      <w:pPr>
        <w:pStyle w:val="ListParagraph"/>
        <w:ind w:left="360"/>
        <w:rPr>
          <w:rFonts w:ascii="MiSans Normal" w:eastAsia="MiSans Normal" w:hAnsi="MiSans Normal" w:hint="eastAsia"/>
          <w:sz w:val="21"/>
          <w:szCs w:val="21"/>
          <w:lang w:val="en-US"/>
        </w:rPr>
      </w:pPr>
    </w:p>
    <w:p w14:paraId="2F4BC215" w14:textId="5A30EBF4" w:rsidR="00030258" w:rsidRDefault="0012566A" w:rsidP="0012566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私人</w:t>
      </w:r>
      <w:r w:rsidR="000F4B11">
        <w:rPr>
          <w:rFonts w:ascii="MiSans Normal" w:eastAsia="MiSans Normal" w:hAnsi="MiSans Normal" w:hint="eastAsia"/>
          <w:sz w:val="21"/>
          <w:szCs w:val="21"/>
          <w:lang w:val="en-US"/>
        </w:rPr>
        <w:t>拥有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仓库的类型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178"/>
      </w:tblGrid>
      <w:tr w:rsidR="0012566A" w14:paraId="1D5694C5" w14:textId="77777777" w:rsidTr="0012566A">
        <w:tc>
          <w:tcPr>
            <w:tcW w:w="1478" w:type="dxa"/>
          </w:tcPr>
          <w:p w14:paraId="01380E70" w14:textId="42C38A1B" w:rsidR="0012566A" w:rsidRPr="000F4B11" w:rsidRDefault="0012566A" w:rsidP="0012566A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0F4B11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制造商仓库</w:t>
            </w:r>
          </w:p>
        </w:tc>
        <w:tc>
          <w:tcPr>
            <w:tcW w:w="7178" w:type="dxa"/>
          </w:tcPr>
          <w:p w14:paraId="5E8E8A25" w14:textId="30187764" w:rsidR="0012566A" w:rsidRDefault="0012566A" w:rsidP="0012566A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储存原料、半成品或准备销售到市场的制成品</w:t>
            </w:r>
          </w:p>
        </w:tc>
      </w:tr>
      <w:tr w:rsidR="0012566A" w14:paraId="1CA3CDC7" w14:textId="77777777" w:rsidTr="0012566A">
        <w:tc>
          <w:tcPr>
            <w:tcW w:w="1478" w:type="dxa"/>
          </w:tcPr>
          <w:p w14:paraId="1D961B04" w14:textId="1368F5E7" w:rsidR="0012566A" w:rsidRPr="000F4B11" w:rsidRDefault="0012566A" w:rsidP="0012566A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0F4B11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批发商仓库</w:t>
            </w:r>
          </w:p>
        </w:tc>
        <w:tc>
          <w:tcPr>
            <w:tcW w:w="7178" w:type="dxa"/>
          </w:tcPr>
          <w:p w14:paraId="22972CF1" w14:textId="46B3CFAB" w:rsidR="0012566A" w:rsidRDefault="0012566A" w:rsidP="0012566A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储存向不同制造商大批采购的货品</w:t>
            </w:r>
            <w:r w:rsidR="006214D9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并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进行销售前准备工</w:t>
            </w:r>
            <w:r w:rsidR="00F637AA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作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再分销给零售商</w:t>
            </w:r>
          </w:p>
        </w:tc>
      </w:tr>
      <w:tr w:rsidR="0012566A" w14:paraId="4F4DD6C4" w14:textId="77777777" w:rsidTr="0012566A">
        <w:tc>
          <w:tcPr>
            <w:tcW w:w="1478" w:type="dxa"/>
          </w:tcPr>
          <w:p w14:paraId="531A15EC" w14:textId="40C47D4E" w:rsidR="0012566A" w:rsidRPr="000F4B11" w:rsidRDefault="00F637AA" w:rsidP="0012566A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0F4B11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零售</w:t>
            </w:r>
            <w:r w:rsidR="0012566A" w:rsidRPr="000F4B11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商仓库</w:t>
            </w:r>
          </w:p>
        </w:tc>
        <w:tc>
          <w:tcPr>
            <w:tcW w:w="7178" w:type="dxa"/>
          </w:tcPr>
          <w:p w14:paraId="2AC7D547" w14:textId="0BFB9864" w:rsidR="0012566A" w:rsidRDefault="00F637AA" w:rsidP="0012566A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储存大规模零售商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向不同制造商大批采购的货品</w:t>
            </w:r>
            <w:r w:rsidR="00715A89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并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进行销售前准备工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作</w:t>
            </w:r>
          </w:p>
        </w:tc>
      </w:tr>
    </w:tbl>
    <w:p w14:paraId="71F5D1CD" w14:textId="0A5BAABC" w:rsidR="0012566A" w:rsidRDefault="0012566A" w:rsidP="0012566A">
      <w:pPr>
        <w:pStyle w:val="ListParagraph"/>
        <w:ind w:left="360"/>
        <w:rPr>
          <w:rFonts w:ascii="MiSans Normal" w:eastAsia="MiSans Normal" w:hAnsi="MiSans Normal"/>
          <w:sz w:val="21"/>
          <w:szCs w:val="21"/>
          <w:lang w:val="en-US"/>
        </w:rPr>
      </w:pPr>
    </w:p>
    <w:p w14:paraId="79B1AB23" w14:textId="39FE58E9" w:rsidR="000F4B11" w:rsidRDefault="000F4B11" w:rsidP="000F4B11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政府拥有仓库类型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559"/>
        <w:gridCol w:w="5902"/>
      </w:tblGrid>
      <w:tr w:rsidR="00571ABC" w14:paraId="19CB5862" w14:textId="77777777" w:rsidTr="00571ABC">
        <w:tc>
          <w:tcPr>
            <w:tcW w:w="2754" w:type="dxa"/>
            <w:gridSpan w:val="2"/>
          </w:tcPr>
          <w:p w14:paraId="4E2FB3F9" w14:textId="59C772D0" w:rsidR="00571ABC" w:rsidRPr="00571ABC" w:rsidRDefault="00571ABC" w:rsidP="000F4B11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571ABC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公共仓库</w:t>
            </w:r>
          </w:p>
        </w:tc>
        <w:tc>
          <w:tcPr>
            <w:tcW w:w="5902" w:type="dxa"/>
          </w:tcPr>
          <w:p w14:paraId="7F80A4F6" w14:textId="05DC9D29" w:rsidR="00A161C3" w:rsidRDefault="00A161C3" w:rsidP="00A161C3">
            <w:pPr>
              <w:pStyle w:val="ListParagraph"/>
              <w:numPr>
                <w:ilvl w:val="0"/>
                <w:numId w:val="25"/>
              </w:numPr>
              <w:ind w:left="321" w:hanging="283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政府拥有或私人拥有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（需取得政府发出的经营执照）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，出租给商人储存免税货品或已缴税货品</w:t>
            </w:r>
          </w:p>
          <w:p w14:paraId="54EED6AD" w14:textId="549F7F1F" w:rsidR="00A161C3" w:rsidRDefault="00A161C3" w:rsidP="00A161C3">
            <w:pPr>
              <w:pStyle w:val="ListParagraph"/>
              <w:numPr>
                <w:ilvl w:val="0"/>
                <w:numId w:val="25"/>
              </w:numPr>
              <w:ind w:left="321" w:hanging="283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商人取货前需支付佣金，若期限内未支付，仓库拥有人有权出售货品以取得应收佣金</w:t>
            </w:r>
          </w:p>
          <w:p w14:paraId="17184993" w14:textId="054576E5" w:rsidR="00571ABC" w:rsidRDefault="00A161C3" w:rsidP="00A161C3">
            <w:pPr>
              <w:pStyle w:val="ListParagraph"/>
              <w:numPr>
                <w:ilvl w:val="0"/>
                <w:numId w:val="25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一般设立在火车站、港口、渔港、机场或边境地区</w:t>
            </w:r>
          </w:p>
        </w:tc>
      </w:tr>
      <w:tr w:rsidR="00571ABC" w14:paraId="720A160C" w14:textId="77777777" w:rsidTr="00571ABC">
        <w:tc>
          <w:tcPr>
            <w:tcW w:w="1195" w:type="dxa"/>
            <w:vMerge w:val="restart"/>
          </w:tcPr>
          <w:p w14:paraId="290A621F" w14:textId="76703847" w:rsidR="00571ABC" w:rsidRPr="00571ABC" w:rsidRDefault="00571ABC" w:rsidP="000F4B11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571ABC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保税仓库</w:t>
            </w:r>
          </w:p>
        </w:tc>
        <w:tc>
          <w:tcPr>
            <w:tcW w:w="1559" w:type="dxa"/>
          </w:tcPr>
          <w:p w14:paraId="0E6313C9" w14:textId="22E9B536" w:rsidR="00571ABC" w:rsidRPr="00571ABC" w:rsidRDefault="00571ABC" w:rsidP="000F4B11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571ABC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海关仓库</w:t>
            </w:r>
          </w:p>
        </w:tc>
        <w:tc>
          <w:tcPr>
            <w:tcW w:w="5902" w:type="dxa"/>
          </w:tcPr>
          <w:p w14:paraId="09FAB54E" w14:textId="3147C2D1" w:rsidR="00571ABC" w:rsidRDefault="00A161C3" w:rsidP="000F4B11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政府拥有，由皇家关税局管理</w:t>
            </w:r>
          </w:p>
        </w:tc>
      </w:tr>
      <w:tr w:rsidR="00571ABC" w14:paraId="25ECBAB6" w14:textId="77777777" w:rsidTr="00571ABC">
        <w:tc>
          <w:tcPr>
            <w:tcW w:w="1195" w:type="dxa"/>
            <w:vMerge/>
          </w:tcPr>
          <w:p w14:paraId="07FCCAB7" w14:textId="77777777" w:rsidR="00571ABC" w:rsidRDefault="00571ABC" w:rsidP="000F4B11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559" w:type="dxa"/>
          </w:tcPr>
          <w:p w14:paraId="07F987CE" w14:textId="163CDB16" w:rsidR="00571ABC" w:rsidRPr="00571ABC" w:rsidRDefault="00571ABC" w:rsidP="000F4B11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571ABC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许可保税仓库</w:t>
            </w:r>
          </w:p>
        </w:tc>
        <w:tc>
          <w:tcPr>
            <w:tcW w:w="5902" w:type="dxa"/>
          </w:tcPr>
          <w:p w14:paraId="365ACE0C" w14:textId="77777777" w:rsidR="00A161C3" w:rsidRDefault="00A161C3" w:rsidP="00A161C3">
            <w:pPr>
              <w:pStyle w:val="ListParagraph"/>
              <w:numPr>
                <w:ilvl w:val="0"/>
                <w:numId w:val="26"/>
              </w:numPr>
              <w:ind w:left="321" w:hanging="283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私人拥有，由皇家关税局监督及控制</w:t>
            </w:r>
          </w:p>
          <w:p w14:paraId="4BE208CD" w14:textId="77777777" w:rsidR="00571ABC" w:rsidRDefault="00A161C3" w:rsidP="00A161C3">
            <w:pPr>
              <w:pStyle w:val="ListParagraph"/>
              <w:numPr>
                <w:ilvl w:val="0"/>
                <w:numId w:val="26"/>
              </w:numPr>
              <w:ind w:left="321" w:hanging="283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拥有者须与当局签订协定，保证不允许商人在未缴税的情况下取货，若违反规定将采取法律措施</w:t>
            </w:r>
          </w:p>
          <w:p w14:paraId="0ADB9B98" w14:textId="5DF331D4" w:rsidR="00A161C3" w:rsidRDefault="00A161C3" w:rsidP="00A161C3">
            <w:pPr>
              <w:pStyle w:val="ListParagraph"/>
              <w:numPr>
                <w:ilvl w:val="0"/>
                <w:numId w:val="26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商人使用保税仓库需支付一定费用与租金</w:t>
            </w:r>
          </w:p>
        </w:tc>
      </w:tr>
    </w:tbl>
    <w:p w14:paraId="3B02D6A2" w14:textId="77777777" w:rsidR="00A161C3" w:rsidRDefault="00A161C3">
      <w:p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br w:type="page"/>
      </w:r>
    </w:p>
    <w:p w14:paraId="653E3C05" w14:textId="0353A58D" w:rsidR="00A161C3" w:rsidRDefault="00A161C3" w:rsidP="00A161C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lastRenderedPageBreak/>
        <w:t>一般仓库和保税仓库的比较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3544"/>
        <w:gridCol w:w="3776"/>
      </w:tblGrid>
      <w:tr w:rsidR="00A161C3" w14:paraId="414B4BC2" w14:textId="03D837AB" w:rsidTr="00A161C3">
        <w:tc>
          <w:tcPr>
            <w:tcW w:w="1336" w:type="dxa"/>
          </w:tcPr>
          <w:p w14:paraId="7C0DC8F9" w14:textId="77777777" w:rsidR="00A161C3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</w:p>
        </w:tc>
        <w:tc>
          <w:tcPr>
            <w:tcW w:w="3544" w:type="dxa"/>
          </w:tcPr>
          <w:p w14:paraId="37E402C7" w14:textId="492B1FC1" w:rsidR="00A161C3" w:rsidRPr="00A161C3" w:rsidRDefault="00A161C3" w:rsidP="00A161C3">
            <w:pPr>
              <w:pStyle w:val="ListParagraph"/>
              <w:ind w:left="0"/>
              <w:jc w:val="center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A161C3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保税仓库</w:t>
            </w:r>
          </w:p>
        </w:tc>
        <w:tc>
          <w:tcPr>
            <w:tcW w:w="3776" w:type="dxa"/>
          </w:tcPr>
          <w:p w14:paraId="18DC5618" w14:textId="0DF75CB5" w:rsidR="00A161C3" w:rsidRPr="00A161C3" w:rsidRDefault="00A161C3" w:rsidP="00A161C3">
            <w:pPr>
              <w:pStyle w:val="ListParagraph"/>
              <w:ind w:left="0"/>
              <w:jc w:val="center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A161C3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一般仓库</w:t>
            </w:r>
          </w:p>
        </w:tc>
      </w:tr>
      <w:tr w:rsidR="00A161C3" w14:paraId="418882E4" w14:textId="57DF8852" w:rsidTr="00A161C3">
        <w:tc>
          <w:tcPr>
            <w:tcW w:w="1336" w:type="dxa"/>
          </w:tcPr>
          <w:p w14:paraId="00A6258D" w14:textId="618BE304" w:rsidR="00A161C3" w:rsidRPr="000F2B01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0F2B01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拥有者</w:t>
            </w:r>
          </w:p>
        </w:tc>
        <w:tc>
          <w:tcPr>
            <w:tcW w:w="3544" w:type="dxa"/>
          </w:tcPr>
          <w:p w14:paraId="00FB3E0F" w14:textId="1F8E7B9A" w:rsidR="00A161C3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政府拥有，或私人拥有但受皇家关税局监督</w:t>
            </w:r>
          </w:p>
        </w:tc>
        <w:tc>
          <w:tcPr>
            <w:tcW w:w="3776" w:type="dxa"/>
          </w:tcPr>
          <w:p w14:paraId="357D9512" w14:textId="7F588E2F" w:rsidR="00A161C3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制造商、批发商或零售商拥有，自行监管，不受皇家关税局监督</w:t>
            </w:r>
          </w:p>
        </w:tc>
      </w:tr>
      <w:tr w:rsidR="00A161C3" w14:paraId="5614E10D" w14:textId="2DCCA0DE" w:rsidTr="00A161C3">
        <w:tc>
          <w:tcPr>
            <w:tcW w:w="1336" w:type="dxa"/>
          </w:tcPr>
          <w:p w14:paraId="2D124812" w14:textId="1D1ED38C" w:rsidR="00A161C3" w:rsidRPr="000F2B01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0F2B01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设立地点</w:t>
            </w:r>
          </w:p>
        </w:tc>
        <w:tc>
          <w:tcPr>
            <w:tcW w:w="3544" w:type="dxa"/>
          </w:tcPr>
          <w:p w14:paraId="3163A099" w14:textId="167ADD9B" w:rsidR="00A161C3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港口、机场、入境关口附近</w:t>
            </w:r>
          </w:p>
        </w:tc>
        <w:tc>
          <w:tcPr>
            <w:tcW w:w="3776" w:type="dxa"/>
          </w:tcPr>
          <w:p w14:paraId="1E442983" w14:textId="6B569084" w:rsidR="00A161C3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方便商人使用的任何地方</w:t>
            </w:r>
          </w:p>
        </w:tc>
      </w:tr>
      <w:tr w:rsidR="00A161C3" w14:paraId="0F0F7F7A" w14:textId="37F9374B" w:rsidTr="00A161C3">
        <w:tc>
          <w:tcPr>
            <w:tcW w:w="1336" w:type="dxa"/>
          </w:tcPr>
          <w:p w14:paraId="7A0A96E5" w14:textId="487437CA" w:rsidR="00A161C3" w:rsidRPr="000F2B01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0F2B01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储存的货品</w:t>
            </w:r>
          </w:p>
        </w:tc>
        <w:tc>
          <w:tcPr>
            <w:tcW w:w="3544" w:type="dxa"/>
          </w:tcPr>
          <w:p w14:paraId="034BD3F8" w14:textId="2D430F38" w:rsidR="00A161C3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进出口或转口的未缴税应税商品</w:t>
            </w:r>
          </w:p>
        </w:tc>
        <w:tc>
          <w:tcPr>
            <w:tcW w:w="3776" w:type="dxa"/>
          </w:tcPr>
          <w:p w14:paraId="6ECB14A1" w14:textId="7DB25AB4" w:rsidR="00A161C3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本地制造、进出口免税、已缴税或准备销售的货品</w:t>
            </w:r>
          </w:p>
        </w:tc>
      </w:tr>
      <w:tr w:rsidR="00A161C3" w14:paraId="00900CF7" w14:textId="7FE36343" w:rsidTr="00A161C3">
        <w:tc>
          <w:tcPr>
            <w:tcW w:w="1336" w:type="dxa"/>
          </w:tcPr>
          <w:p w14:paraId="609A2F81" w14:textId="6EB89568" w:rsidR="00A161C3" w:rsidRPr="000F2B01" w:rsidRDefault="00A161C3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0F2B01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提取货品</w:t>
            </w:r>
          </w:p>
        </w:tc>
        <w:tc>
          <w:tcPr>
            <w:tcW w:w="3544" w:type="dxa"/>
          </w:tcPr>
          <w:p w14:paraId="161D63F3" w14:textId="2129C604" w:rsidR="00A161C3" w:rsidRDefault="00771F1F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缴税并获皇家关税局批准方可提取</w:t>
            </w:r>
          </w:p>
        </w:tc>
        <w:tc>
          <w:tcPr>
            <w:tcW w:w="3776" w:type="dxa"/>
          </w:tcPr>
          <w:p w14:paraId="51640E6E" w14:textId="2B45AEE5" w:rsidR="00A161C3" w:rsidRDefault="00771F1F" w:rsidP="00A161C3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仓库拥有着可随时从仓库提取货品</w:t>
            </w:r>
          </w:p>
        </w:tc>
      </w:tr>
    </w:tbl>
    <w:p w14:paraId="09E23388" w14:textId="07952DEC" w:rsidR="00A161C3" w:rsidRDefault="00A161C3" w:rsidP="00A161C3">
      <w:pPr>
        <w:pStyle w:val="ListParagraph"/>
        <w:ind w:left="360"/>
        <w:rPr>
          <w:rFonts w:ascii="MiSans Normal" w:eastAsia="MiSans Normal" w:hAnsi="MiSans Normal"/>
          <w:sz w:val="21"/>
          <w:szCs w:val="21"/>
          <w:lang w:val="en-US"/>
        </w:rPr>
      </w:pPr>
    </w:p>
    <w:p w14:paraId="010F6E7C" w14:textId="0DD6D9BC" w:rsidR="00113DD3" w:rsidRDefault="00113DD3" w:rsidP="00113DD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保税仓库的重要性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113DD3" w14:paraId="6F1A97D0" w14:textId="77777777" w:rsidTr="00113DD3">
        <w:tc>
          <w:tcPr>
            <w:tcW w:w="4508" w:type="dxa"/>
          </w:tcPr>
          <w:p w14:paraId="4B730962" w14:textId="58BB47B6" w:rsidR="00113DD3" w:rsidRPr="00B66842" w:rsidRDefault="00113DD3" w:rsidP="00113DD3">
            <w:pPr>
              <w:pStyle w:val="ListParagraph"/>
              <w:ind w:left="0"/>
              <w:jc w:val="center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B66842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政府方面</w:t>
            </w:r>
          </w:p>
        </w:tc>
        <w:tc>
          <w:tcPr>
            <w:tcW w:w="4508" w:type="dxa"/>
          </w:tcPr>
          <w:p w14:paraId="173BE05A" w14:textId="4D843493" w:rsidR="00113DD3" w:rsidRPr="00B66842" w:rsidRDefault="00113DD3" w:rsidP="00113DD3">
            <w:pPr>
              <w:pStyle w:val="ListParagraph"/>
              <w:ind w:left="0"/>
              <w:jc w:val="center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B66842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商人方面</w:t>
            </w:r>
          </w:p>
        </w:tc>
      </w:tr>
      <w:tr w:rsidR="00113DD3" w14:paraId="77006123" w14:textId="77777777" w:rsidTr="00113DD3">
        <w:tc>
          <w:tcPr>
            <w:tcW w:w="4508" w:type="dxa"/>
          </w:tcPr>
          <w:p w14:paraId="6A3EEC76" w14:textId="51853069" w:rsidR="00113DD3" w:rsidRDefault="00113DD3" w:rsidP="00113DD3">
            <w:pPr>
              <w:pStyle w:val="ListParagraph"/>
              <w:numPr>
                <w:ilvl w:val="0"/>
                <w:numId w:val="29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防止商人逃税</w:t>
            </w:r>
          </w:p>
        </w:tc>
        <w:tc>
          <w:tcPr>
            <w:tcW w:w="4508" w:type="dxa"/>
          </w:tcPr>
          <w:p w14:paraId="0B026C46" w14:textId="030FD564" w:rsidR="00113DD3" w:rsidRDefault="00113DD3" w:rsidP="00113DD3">
            <w:pPr>
              <w:pStyle w:val="ListParagraph"/>
              <w:numPr>
                <w:ilvl w:val="0"/>
                <w:numId w:val="30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商人可根据资金周转、销售量及生产规划分批取货，并且在提货时才缴税</w:t>
            </w:r>
          </w:p>
        </w:tc>
      </w:tr>
      <w:tr w:rsidR="00113DD3" w14:paraId="1BB24C2C" w14:textId="77777777" w:rsidTr="00113DD3">
        <w:tc>
          <w:tcPr>
            <w:tcW w:w="4508" w:type="dxa"/>
          </w:tcPr>
          <w:p w14:paraId="649B8641" w14:textId="7F630990" w:rsidR="00113DD3" w:rsidRDefault="00113DD3" w:rsidP="00113DD3">
            <w:pPr>
              <w:pStyle w:val="ListParagraph"/>
              <w:numPr>
                <w:ilvl w:val="0"/>
                <w:numId w:val="29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监督及检查进出口货品，防止进口违禁品或违反进出口条规</w:t>
            </w:r>
          </w:p>
        </w:tc>
        <w:tc>
          <w:tcPr>
            <w:tcW w:w="4508" w:type="dxa"/>
          </w:tcPr>
          <w:p w14:paraId="3D7A6645" w14:textId="36A3210F" w:rsidR="00113DD3" w:rsidRDefault="00113DD3" w:rsidP="00113DD3">
            <w:pPr>
              <w:pStyle w:val="ListParagraph"/>
              <w:numPr>
                <w:ilvl w:val="0"/>
                <w:numId w:val="30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提货时缴税的便利，提高商人资金周转，有能力不断向制造商订货，制造商订单增加而产生大规模经济效益</w:t>
            </w:r>
          </w:p>
        </w:tc>
      </w:tr>
      <w:tr w:rsidR="00113DD3" w14:paraId="22C92A06" w14:textId="77777777" w:rsidTr="00113DD3">
        <w:tc>
          <w:tcPr>
            <w:tcW w:w="4508" w:type="dxa"/>
          </w:tcPr>
          <w:p w14:paraId="2220E511" w14:textId="7989F145" w:rsidR="00113DD3" w:rsidRDefault="00113DD3" w:rsidP="00113DD3">
            <w:pPr>
              <w:pStyle w:val="ListParagraph"/>
              <w:numPr>
                <w:ilvl w:val="0"/>
                <w:numId w:val="29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收集进出口货品资料，监控货品进出口量</w:t>
            </w:r>
          </w:p>
        </w:tc>
        <w:tc>
          <w:tcPr>
            <w:tcW w:w="4508" w:type="dxa"/>
          </w:tcPr>
          <w:p w14:paraId="63006FAD" w14:textId="5FFC30FA" w:rsidR="00113DD3" w:rsidRDefault="00113DD3" w:rsidP="00113DD3">
            <w:pPr>
              <w:pStyle w:val="ListParagraph"/>
              <w:numPr>
                <w:ilvl w:val="0"/>
                <w:numId w:val="30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提货时缴税的便利，提高商人资金周转，有能力不断向制造商订货，制造商订单增加而产生大规模经济效益</w:t>
            </w:r>
          </w:p>
        </w:tc>
      </w:tr>
      <w:tr w:rsidR="00113DD3" w14:paraId="5B38883D" w14:textId="77777777" w:rsidTr="00113DD3">
        <w:tc>
          <w:tcPr>
            <w:tcW w:w="4508" w:type="dxa"/>
          </w:tcPr>
          <w:p w14:paraId="1A5DEA6B" w14:textId="4E00D25F" w:rsidR="00113DD3" w:rsidRDefault="00113DD3" w:rsidP="00113DD3">
            <w:pPr>
              <w:pStyle w:val="ListParagraph"/>
              <w:numPr>
                <w:ilvl w:val="0"/>
                <w:numId w:val="29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简化皇家关税局的工作，商人无需缴交转口货品的进口税后在索回</w:t>
            </w:r>
          </w:p>
        </w:tc>
        <w:tc>
          <w:tcPr>
            <w:tcW w:w="4508" w:type="dxa"/>
          </w:tcPr>
          <w:p w14:paraId="1FF6D43A" w14:textId="1037CC47" w:rsidR="00113DD3" w:rsidRDefault="00113DD3" w:rsidP="00113DD3">
            <w:pPr>
              <w:pStyle w:val="ListParagraph"/>
              <w:numPr>
                <w:ilvl w:val="0"/>
                <w:numId w:val="30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货物抵达后立刻存入仓库，避免支付延迟取得官方文件或贸易纠纷造成的港口收费</w:t>
            </w:r>
          </w:p>
        </w:tc>
      </w:tr>
      <w:tr w:rsidR="00113DD3" w14:paraId="04355992" w14:textId="77777777" w:rsidTr="00113DD3">
        <w:tc>
          <w:tcPr>
            <w:tcW w:w="4508" w:type="dxa"/>
          </w:tcPr>
          <w:p w14:paraId="2EED92B3" w14:textId="29C87574" w:rsidR="00113DD3" w:rsidRPr="00113DD3" w:rsidRDefault="00113DD3" w:rsidP="00113DD3">
            <w:pPr>
              <w:pStyle w:val="ListParagraph"/>
              <w:numPr>
                <w:ilvl w:val="0"/>
                <w:numId w:val="29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商人可以延迟支付关税，促进进出口及转口贸易</w:t>
            </w:r>
          </w:p>
        </w:tc>
        <w:tc>
          <w:tcPr>
            <w:tcW w:w="4508" w:type="dxa"/>
          </w:tcPr>
          <w:p w14:paraId="6B21A149" w14:textId="7570F4CB" w:rsidR="00113DD3" w:rsidRDefault="00113DD3" w:rsidP="00113DD3">
            <w:pPr>
              <w:pStyle w:val="ListParagraph"/>
              <w:numPr>
                <w:ilvl w:val="0"/>
                <w:numId w:val="30"/>
              </w:numPr>
              <w:ind w:left="321" w:hanging="283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商人可在海关人员监督的情况下进行货</w:t>
            </w:r>
            <w:r w:rsidR="00CA6506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品</w:t>
            </w:r>
            <w:r w:rsidRPr="00113DD3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准备工作</w:t>
            </w:r>
          </w:p>
        </w:tc>
      </w:tr>
    </w:tbl>
    <w:p w14:paraId="066BC2CA" w14:textId="77777777" w:rsidR="00113DD3" w:rsidRPr="00A161C3" w:rsidRDefault="00113DD3" w:rsidP="00113DD3">
      <w:pPr>
        <w:pStyle w:val="ListParagraph"/>
        <w:ind w:left="360"/>
        <w:rPr>
          <w:rFonts w:ascii="MiSans Normal" w:eastAsia="MiSans Normal" w:hAnsi="MiSans Normal" w:hint="eastAsia"/>
          <w:sz w:val="21"/>
          <w:szCs w:val="21"/>
          <w:lang w:val="en-US"/>
        </w:rPr>
      </w:pPr>
    </w:p>
    <w:sectPr w:rsidR="00113DD3" w:rsidRPr="00A161C3" w:rsidSect="004C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BC4"/>
    <w:multiLevelType w:val="hybridMultilevel"/>
    <w:tmpl w:val="DBF84C70"/>
    <w:lvl w:ilvl="0" w:tplc="498E22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0929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6D6"/>
    <w:multiLevelType w:val="hybridMultilevel"/>
    <w:tmpl w:val="BD482B8C"/>
    <w:lvl w:ilvl="0" w:tplc="EACE60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536E7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E5B8B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07C91"/>
    <w:multiLevelType w:val="hybridMultilevel"/>
    <w:tmpl w:val="BBF2B13C"/>
    <w:lvl w:ilvl="0" w:tplc="0C1AA2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56F54"/>
    <w:multiLevelType w:val="hybridMultilevel"/>
    <w:tmpl w:val="B06EDA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4092F"/>
    <w:multiLevelType w:val="hybridMultilevel"/>
    <w:tmpl w:val="A2AC3EF2"/>
    <w:lvl w:ilvl="0" w:tplc="39FE32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102E4"/>
    <w:multiLevelType w:val="hybridMultilevel"/>
    <w:tmpl w:val="E760F134"/>
    <w:lvl w:ilvl="0" w:tplc="3AE615E2">
      <w:start w:val="1"/>
      <w:numFmt w:val="decimal"/>
      <w:lvlText w:val="%1."/>
      <w:lvlJc w:val="left"/>
      <w:pPr>
        <w:ind w:left="67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394" w:hanging="360"/>
      </w:pPr>
    </w:lvl>
    <w:lvl w:ilvl="2" w:tplc="0809001B" w:tentative="1">
      <w:start w:val="1"/>
      <w:numFmt w:val="lowerRoman"/>
      <w:lvlText w:val="%3."/>
      <w:lvlJc w:val="right"/>
      <w:pPr>
        <w:ind w:left="2114" w:hanging="180"/>
      </w:pPr>
    </w:lvl>
    <w:lvl w:ilvl="3" w:tplc="0809000F" w:tentative="1">
      <w:start w:val="1"/>
      <w:numFmt w:val="decimal"/>
      <w:lvlText w:val="%4."/>
      <w:lvlJc w:val="left"/>
      <w:pPr>
        <w:ind w:left="2834" w:hanging="360"/>
      </w:pPr>
    </w:lvl>
    <w:lvl w:ilvl="4" w:tplc="08090019" w:tentative="1">
      <w:start w:val="1"/>
      <w:numFmt w:val="lowerLetter"/>
      <w:lvlText w:val="%5."/>
      <w:lvlJc w:val="left"/>
      <w:pPr>
        <w:ind w:left="3554" w:hanging="360"/>
      </w:pPr>
    </w:lvl>
    <w:lvl w:ilvl="5" w:tplc="0809001B" w:tentative="1">
      <w:start w:val="1"/>
      <w:numFmt w:val="lowerRoman"/>
      <w:lvlText w:val="%6."/>
      <w:lvlJc w:val="right"/>
      <w:pPr>
        <w:ind w:left="4274" w:hanging="180"/>
      </w:pPr>
    </w:lvl>
    <w:lvl w:ilvl="6" w:tplc="0809000F" w:tentative="1">
      <w:start w:val="1"/>
      <w:numFmt w:val="decimal"/>
      <w:lvlText w:val="%7."/>
      <w:lvlJc w:val="left"/>
      <w:pPr>
        <w:ind w:left="4994" w:hanging="360"/>
      </w:pPr>
    </w:lvl>
    <w:lvl w:ilvl="7" w:tplc="08090019" w:tentative="1">
      <w:start w:val="1"/>
      <w:numFmt w:val="lowerLetter"/>
      <w:lvlText w:val="%8."/>
      <w:lvlJc w:val="left"/>
      <w:pPr>
        <w:ind w:left="5714" w:hanging="360"/>
      </w:pPr>
    </w:lvl>
    <w:lvl w:ilvl="8" w:tplc="0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2A3029FF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E659E"/>
    <w:multiLevelType w:val="hybridMultilevel"/>
    <w:tmpl w:val="43AEE83C"/>
    <w:lvl w:ilvl="0" w:tplc="D64CBC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002C0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80477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81D1E"/>
    <w:multiLevelType w:val="hybridMultilevel"/>
    <w:tmpl w:val="E738DB0C"/>
    <w:lvl w:ilvl="0" w:tplc="135C3032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108B2"/>
    <w:multiLevelType w:val="hybridMultilevel"/>
    <w:tmpl w:val="3CA05304"/>
    <w:lvl w:ilvl="0" w:tplc="2B04B90A">
      <w:start w:val="1"/>
      <w:numFmt w:val="decimal"/>
      <w:lvlText w:val="%1."/>
      <w:lvlJc w:val="left"/>
      <w:pPr>
        <w:ind w:left="67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394" w:hanging="360"/>
      </w:pPr>
    </w:lvl>
    <w:lvl w:ilvl="2" w:tplc="0809001B" w:tentative="1">
      <w:start w:val="1"/>
      <w:numFmt w:val="lowerRoman"/>
      <w:lvlText w:val="%3."/>
      <w:lvlJc w:val="right"/>
      <w:pPr>
        <w:ind w:left="2114" w:hanging="180"/>
      </w:pPr>
    </w:lvl>
    <w:lvl w:ilvl="3" w:tplc="0809000F" w:tentative="1">
      <w:start w:val="1"/>
      <w:numFmt w:val="decimal"/>
      <w:lvlText w:val="%4."/>
      <w:lvlJc w:val="left"/>
      <w:pPr>
        <w:ind w:left="2834" w:hanging="360"/>
      </w:pPr>
    </w:lvl>
    <w:lvl w:ilvl="4" w:tplc="08090019" w:tentative="1">
      <w:start w:val="1"/>
      <w:numFmt w:val="lowerLetter"/>
      <w:lvlText w:val="%5."/>
      <w:lvlJc w:val="left"/>
      <w:pPr>
        <w:ind w:left="3554" w:hanging="360"/>
      </w:pPr>
    </w:lvl>
    <w:lvl w:ilvl="5" w:tplc="0809001B" w:tentative="1">
      <w:start w:val="1"/>
      <w:numFmt w:val="lowerRoman"/>
      <w:lvlText w:val="%6."/>
      <w:lvlJc w:val="right"/>
      <w:pPr>
        <w:ind w:left="4274" w:hanging="180"/>
      </w:pPr>
    </w:lvl>
    <w:lvl w:ilvl="6" w:tplc="0809000F" w:tentative="1">
      <w:start w:val="1"/>
      <w:numFmt w:val="decimal"/>
      <w:lvlText w:val="%7."/>
      <w:lvlJc w:val="left"/>
      <w:pPr>
        <w:ind w:left="4994" w:hanging="360"/>
      </w:pPr>
    </w:lvl>
    <w:lvl w:ilvl="7" w:tplc="08090019" w:tentative="1">
      <w:start w:val="1"/>
      <w:numFmt w:val="lowerLetter"/>
      <w:lvlText w:val="%8."/>
      <w:lvlJc w:val="left"/>
      <w:pPr>
        <w:ind w:left="5714" w:hanging="360"/>
      </w:pPr>
    </w:lvl>
    <w:lvl w:ilvl="8" w:tplc="0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5" w15:restartNumberingAfterBreak="0">
    <w:nsid w:val="529739C5"/>
    <w:multiLevelType w:val="hybridMultilevel"/>
    <w:tmpl w:val="3B56C7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A718E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B43C5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116D0"/>
    <w:multiLevelType w:val="hybridMultilevel"/>
    <w:tmpl w:val="3B443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73A12"/>
    <w:multiLevelType w:val="hybridMultilevel"/>
    <w:tmpl w:val="180286AA"/>
    <w:lvl w:ilvl="0" w:tplc="B6543BD0">
      <w:start w:val="1"/>
      <w:numFmt w:val="decimal"/>
      <w:lvlText w:val="%1."/>
      <w:lvlJc w:val="left"/>
      <w:pPr>
        <w:ind w:left="39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0" w15:restartNumberingAfterBreak="0">
    <w:nsid w:val="574962D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B4AAD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B1B58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F0CA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320AB"/>
    <w:multiLevelType w:val="hybridMultilevel"/>
    <w:tmpl w:val="B06ED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A77C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556DA"/>
    <w:multiLevelType w:val="hybridMultilevel"/>
    <w:tmpl w:val="B06EDA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31AC9"/>
    <w:multiLevelType w:val="hybridMultilevel"/>
    <w:tmpl w:val="7020E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A3F32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B3794"/>
    <w:multiLevelType w:val="hybridMultilevel"/>
    <w:tmpl w:val="B06EDA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0744">
    <w:abstractNumId w:val="2"/>
  </w:num>
  <w:num w:numId="2" w16cid:durableId="291061221">
    <w:abstractNumId w:val="10"/>
  </w:num>
  <w:num w:numId="3" w16cid:durableId="1485046510">
    <w:abstractNumId w:val="13"/>
  </w:num>
  <w:num w:numId="4" w16cid:durableId="966005994">
    <w:abstractNumId w:val="5"/>
  </w:num>
  <w:num w:numId="5" w16cid:durableId="1354303985">
    <w:abstractNumId w:val="9"/>
  </w:num>
  <w:num w:numId="6" w16cid:durableId="845168637">
    <w:abstractNumId w:val="7"/>
  </w:num>
  <w:num w:numId="7" w16cid:durableId="28072297">
    <w:abstractNumId w:val="21"/>
  </w:num>
  <w:num w:numId="8" w16cid:durableId="965357304">
    <w:abstractNumId w:val="0"/>
  </w:num>
  <w:num w:numId="9" w16cid:durableId="472917788">
    <w:abstractNumId w:val="4"/>
  </w:num>
  <w:num w:numId="10" w16cid:durableId="289091263">
    <w:abstractNumId w:val="8"/>
  </w:num>
  <w:num w:numId="11" w16cid:durableId="309599767">
    <w:abstractNumId w:val="1"/>
  </w:num>
  <w:num w:numId="12" w16cid:durableId="198931919">
    <w:abstractNumId w:val="19"/>
  </w:num>
  <w:num w:numId="13" w16cid:durableId="266546853">
    <w:abstractNumId w:val="28"/>
  </w:num>
  <w:num w:numId="14" w16cid:durableId="2064061021">
    <w:abstractNumId w:val="25"/>
  </w:num>
  <w:num w:numId="15" w16cid:durableId="1195770600">
    <w:abstractNumId w:val="20"/>
  </w:num>
  <w:num w:numId="16" w16cid:durableId="608585572">
    <w:abstractNumId w:val="16"/>
  </w:num>
  <w:num w:numId="17" w16cid:durableId="135418640">
    <w:abstractNumId w:val="3"/>
  </w:num>
  <w:num w:numId="18" w16cid:durableId="804784111">
    <w:abstractNumId w:val="11"/>
  </w:num>
  <w:num w:numId="19" w16cid:durableId="1245141104">
    <w:abstractNumId w:val="14"/>
  </w:num>
  <w:num w:numId="20" w16cid:durableId="986202846">
    <w:abstractNumId w:val="23"/>
  </w:num>
  <w:num w:numId="21" w16cid:durableId="248001380">
    <w:abstractNumId w:val="17"/>
  </w:num>
  <w:num w:numId="22" w16cid:durableId="1780905757">
    <w:abstractNumId w:val="12"/>
  </w:num>
  <w:num w:numId="23" w16cid:durableId="1209026479">
    <w:abstractNumId w:val="22"/>
  </w:num>
  <w:num w:numId="24" w16cid:durableId="664014455">
    <w:abstractNumId w:val="15"/>
  </w:num>
  <w:num w:numId="25" w16cid:durableId="571738681">
    <w:abstractNumId w:val="24"/>
  </w:num>
  <w:num w:numId="26" w16cid:durableId="781845498">
    <w:abstractNumId w:val="6"/>
  </w:num>
  <w:num w:numId="27" w16cid:durableId="817187842">
    <w:abstractNumId w:val="27"/>
  </w:num>
  <w:num w:numId="28" w16cid:durableId="303587208">
    <w:abstractNumId w:val="18"/>
  </w:num>
  <w:num w:numId="29" w16cid:durableId="1476793461">
    <w:abstractNumId w:val="29"/>
  </w:num>
  <w:num w:numId="30" w16cid:durableId="10634042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05"/>
    <w:rsid w:val="0002394B"/>
    <w:rsid w:val="00030258"/>
    <w:rsid w:val="000F2B01"/>
    <w:rsid w:val="000F4B11"/>
    <w:rsid w:val="00113DD3"/>
    <w:rsid w:val="0012566A"/>
    <w:rsid w:val="001C3FD3"/>
    <w:rsid w:val="00245F0B"/>
    <w:rsid w:val="0027143A"/>
    <w:rsid w:val="002E52B4"/>
    <w:rsid w:val="00376D85"/>
    <w:rsid w:val="0039180B"/>
    <w:rsid w:val="003D4CD7"/>
    <w:rsid w:val="003D7E4B"/>
    <w:rsid w:val="0040099A"/>
    <w:rsid w:val="00450955"/>
    <w:rsid w:val="004C1AE7"/>
    <w:rsid w:val="0055577D"/>
    <w:rsid w:val="00571ABC"/>
    <w:rsid w:val="006214D9"/>
    <w:rsid w:val="00702E94"/>
    <w:rsid w:val="00715A89"/>
    <w:rsid w:val="0073319E"/>
    <w:rsid w:val="00747D70"/>
    <w:rsid w:val="00763A64"/>
    <w:rsid w:val="00771F1F"/>
    <w:rsid w:val="007D374F"/>
    <w:rsid w:val="007F57A2"/>
    <w:rsid w:val="009C2D59"/>
    <w:rsid w:val="00A161C3"/>
    <w:rsid w:val="00A45066"/>
    <w:rsid w:val="00A921C9"/>
    <w:rsid w:val="00B00629"/>
    <w:rsid w:val="00B66842"/>
    <w:rsid w:val="00C57EEE"/>
    <w:rsid w:val="00C73195"/>
    <w:rsid w:val="00CA6506"/>
    <w:rsid w:val="00CF749F"/>
    <w:rsid w:val="00D267B5"/>
    <w:rsid w:val="00D4684A"/>
    <w:rsid w:val="00D87F84"/>
    <w:rsid w:val="00DE25E2"/>
    <w:rsid w:val="00E74BA0"/>
    <w:rsid w:val="00EB491B"/>
    <w:rsid w:val="00F33AFB"/>
    <w:rsid w:val="00F637AA"/>
    <w:rsid w:val="00FA410E"/>
    <w:rsid w:val="00FA5C05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64ED"/>
  <w15:chartTrackingRefBased/>
  <w15:docId w15:val="{E2B61638-10EC-F540-87F1-43D7A94F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95"/>
    <w:pPr>
      <w:ind w:left="720"/>
      <w:contextualSpacing/>
    </w:pPr>
  </w:style>
  <w:style w:type="table" w:styleId="TableGrid">
    <w:name w:val="Table Grid"/>
    <w:basedOn w:val="TableNormal"/>
    <w:uiPriority w:val="39"/>
    <w:rsid w:val="00C73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vinchia/Library/Group%20Containers/UBF8T346G9.Office/User%20Content.localized/Templates.localized/&#31532;&#20843;&#31456;%20&#36816;&#3675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第八章 运输.dotx</Template>
  <TotalTime>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2022-10-24T23:49:00Z</cp:lastPrinted>
  <dcterms:created xsi:type="dcterms:W3CDTF">2022-10-24T23:49:00Z</dcterms:created>
  <dcterms:modified xsi:type="dcterms:W3CDTF">2022-10-24T23:49:00Z</dcterms:modified>
</cp:coreProperties>
</file>