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06AA4" w14:textId="14E3FD6C" w:rsidR="00D77327" w:rsidRPr="006153BE" w:rsidRDefault="00D77327" w:rsidP="00E30D88">
      <w:pPr>
        <w:spacing w:after="120" w:line="276" w:lineRule="auto"/>
        <w:jc w:val="both"/>
        <w:rPr>
          <w:rFonts w:ascii="Times New Roman" w:hAnsi="Times New Roman" w:cs="Times New Roman"/>
          <w:b/>
          <w:bCs/>
          <w:u w:val="single"/>
          <w:lang w:val="en-US"/>
        </w:rPr>
      </w:pPr>
      <w:r w:rsidRPr="006153BE">
        <w:rPr>
          <w:rFonts w:ascii="Times New Roman" w:hAnsi="Times New Roman" w:cs="Times New Roman"/>
          <w:b/>
          <w:bCs/>
          <w:u w:val="single"/>
          <w:lang w:val="en-US"/>
        </w:rPr>
        <w:t>London</w:t>
      </w:r>
      <w:r w:rsidR="000043D0" w:rsidRPr="006153BE">
        <w:rPr>
          <w:rFonts w:ascii="Times New Roman" w:hAnsi="Times New Roman" w:cs="Times New Roman"/>
          <w:b/>
          <w:bCs/>
          <w:u w:val="single"/>
          <w:lang w:val="en-US"/>
        </w:rPr>
        <w:t xml:space="preserve"> Chamber of Commerce </w:t>
      </w:r>
      <w:r w:rsidR="006153BE" w:rsidRPr="006153BE">
        <w:rPr>
          <w:rFonts w:ascii="Times New Roman" w:hAnsi="Times New Roman" w:cs="Times New Roman"/>
          <w:b/>
          <w:bCs/>
          <w:u w:val="single"/>
          <w:lang w:val="en-US"/>
        </w:rPr>
        <w:t>- U.K. Autumn Exam, 1967</w:t>
      </w:r>
      <w:r w:rsidR="004F28E3">
        <w:rPr>
          <w:rFonts w:ascii="Times New Roman" w:hAnsi="Times New Roman" w:cs="Times New Roman"/>
          <w:b/>
          <w:bCs/>
          <w:u w:val="single"/>
          <w:lang w:val="en-US"/>
        </w:rPr>
        <w:t>, Question 1</w:t>
      </w:r>
    </w:p>
    <w:p w14:paraId="4B79C12C" w14:textId="26F3B3EC" w:rsidR="008C02CC" w:rsidRDefault="00A6017B" w:rsidP="00E30D88">
      <w:pPr>
        <w:spacing w:after="120" w:line="276" w:lineRule="auto"/>
        <w:jc w:val="both"/>
        <w:rPr>
          <w:rFonts w:ascii="Times New Roman" w:hAnsi="Times New Roman" w:cs="Times New Roman"/>
          <w:lang w:val="en-US"/>
        </w:rPr>
      </w:pPr>
      <w:r w:rsidRPr="00A6017B">
        <w:rPr>
          <w:rFonts w:ascii="Times New Roman" w:hAnsi="Times New Roman" w:cs="Times New Roman"/>
          <w:lang w:val="en-US"/>
        </w:rPr>
        <w:t>The Granite Blocks Co Ltd. keeps control accounts for its personal ledgers and the subordinate books are designed to supply the necessary information to construct those accounts. The following details are taken from those books on 30 June 1967.</w:t>
      </w:r>
    </w:p>
    <w:p w14:paraId="5DCA8BB7" w14:textId="77777777" w:rsidR="00A6017B" w:rsidRDefault="00A6017B" w:rsidP="00E30D88">
      <w:pPr>
        <w:spacing w:after="120" w:line="276" w:lineRule="auto"/>
        <w:jc w:val="both"/>
        <w:rPr>
          <w:rFonts w:ascii="Times New Roman" w:hAnsi="Times New Roman" w:cs="Times New Roman"/>
          <w:lang w:val="en-US"/>
        </w:rPr>
      </w:pPr>
    </w:p>
    <w:tbl>
      <w:tblPr>
        <w:tblStyle w:val="TableGrid"/>
        <w:tblW w:w="0" w:type="auto"/>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1366"/>
      </w:tblGrid>
      <w:tr w:rsidR="00A6017B" w14:paraId="68F79E0B" w14:textId="77777777" w:rsidTr="002210DF">
        <w:tc>
          <w:tcPr>
            <w:tcW w:w="7792" w:type="dxa"/>
          </w:tcPr>
          <w:p w14:paraId="0FED7CFF" w14:textId="77777777" w:rsidR="00A6017B" w:rsidRDefault="00A6017B" w:rsidP="00E30D88">
            <w:pPr>
              <w:spacing w:after="120" w:line="276" w:lineRule="auto"/>
              <w:jc w:val="both"/>
              <w:rPr>
                <w:rFonts w:ascii="Times New Roman" w:hAnsi="Times New Roman" w:cs="Times New Roman"/>
                <w:lang w:val="en-US"/>
              </w:rPr>
            </w:pPr>
          </w:p>
        </w:tc>
        <w:tc>
          <w:tcPr>
            <w:tcW w:w="1366" w:type="dxa"/>
          </w:tcPr>
          <w:p w14:paraId="24E10E8B" w14:textId="1AC9A1A3" w:rsidR="00A6017B" w:rsidRPr="00A6017B" w:rsidRDefault="00A6017B" w:rsidP="00E30D88">
            <w:pPr>
              <w:spacing w:after="120" w:line="276" w:lineRule="auto"/>
              <w:jc w:val="center"/>
              <w:rPr>
                <w:rFonts w:ascii="Times New Roman" w:hAnsi="Times New Roman" w:cs="Times New Roman"/>
                <w:b/>
                <w:bCs/>
                <w:lang w:val="en-US"/>
              </w:rPr>
            </w:pPr>
            <w:r>
              <w:rPr>
                <w:rFonts w:ascii="Times New Roman" w:hAnsi="Times New Roman" w:cs="Times New Roman"/>
                <w:lang w:val="en-US"/>
              </w:rPr>
              <w:t xml:space="preserve">      </w:t>
            </w:r>
            <w:r w:rsidRPr="00A6017B">
              <w:rPr>
                <w:rFonts w:ascii="Times New Roman" w:hAnsi="Times New Roman" w:cs="Times New Roman"/>
                <w:b/>
                <w:bCs/>
                <w:lang w:val="en-US"/>
              </w:rPr>
              <w:t>RM</w:t>
            </w:r>
          </w:p>
        </w:tc>
      </w:tr>
      <w:tr w:rsidR="00A6017B" w14:paraId="2A74292F" w14:textId="77777777" w:rsidTr="002210DF">
        <w:tc>
          <w:tcPr>
            <w:tcW w:w="7792" w:type="dxa"/>
          </w:tcPr>
          <w:p w14:paraId="3C1DCFD0" w14:textId="53557283"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Credit Sales</w:t>
            </w:r>
          </w:p>
        </w:tc>
        <w:tc>
          <w:tcPr>
            <w:tcW w:w="1366" w:type="dxa"/>
          </w:tcPr>
          <w:p w14:paraId="5EBA419E" w14:textId="22BABFD0"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111,233</w:t>
            </w:r>
          </w:p>
        </w:tc>
      </w:tr>
      <w:tr w:rsidR="00A6017B" w14:paraId="7AB5462C" w14:textId="77777777" w:rsidTr="002210DF">
        <w:tc>
          <w:tcPr>
            <w:tcW w:w="7792" w:type="dxa"/>
          </w:tcPr>
          <w:p w14:paraId="455CC14C" w14:textId="2AA1E1B1"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Bad Debts written off</w:t>
            </w:r>
          </w:p>
        </w:tc>
        <w:tc>
          <w:tcPr>
            <w:tcW w:w="1366" w:type="dxa"/>
          </w:tcPr>
          <w:p w14:paraId="1270568E" w14:textId="01875FF5"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714</w:t>
            </w:r>
          </w:p>
        </w:tc>
      </w:tr>
      <w:tr w:rsidR="00A6017B" w14:paraId="59A98C44" w14:textId="77777777" w:rsidTr="002210DF">
        <w:tc>
          <w:tcPr>
            <w:tcW w:w="7792" w:type="dxa"/>
          </w:tcPr>
          <w:p w14:paraId="1751F5DB" w14:textId="66AF363E"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Bills of Exchange drawn on debtors</w:t>
            </w:r>
          </w:p>
        </w:tc>
        <w:tc>
          <w:tcPr>
            <w:tcW w:w="1366" w:type="dxa"/>
          </w:tcPr>
          <w:p w14:paraId="3E518D61" w14:textId="2AAF4EE4"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6,110</w:t>
            </w:r>
          </w:p>
        </w:tc>
      </w:tr>
      <w:tr w:rsidR="00A6017B" w14:paraId="7502CD34" w14:textId="77777777" w:rsidTr="002210DF">
        <w:tc>
          <w:tcPr>
            <w:tcW w:w="7792" w:type="dxa"/>
          </w:tcPr>
          <w:p w14:paraId="5876F839" w14:textId="051C2783"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Cash paid to Suppliers</w:t>
            </w:r>
          </w:p>
        </w:tc>
        <w:tc>
          <w:tcPr>
            <w:tcW w:w="1366" w:type="dxa"/>
          </w:tcPr>
          <w:p w14:paraId="671D95A5" w14:textId="7AE36CB4"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62,111</w:t>
            </w:r>
          </w:p>
        </w:tc>
      </w:tr>
      <w:tr w:rsidR="00A6017B" w14:paraId="507D259C" w14:textId="77777777" w:rsidTr="002210DF">
        <w:tc>
          <w:tcPr>
            <w:tcW w:w="7792" w:type="dxa"/>
          </w:tcPr>
          <w:p w14:paraId="0787442C" w14:textId="02EEA13C"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Cash refund to Customers</w:t>
            </w:r>
          </w:p>
        </w:tc>
        <w:tc>
          <w:tcPr>
            <w:tcW w:w="1366" w:type="dxa"/>
          </w:tcPr>
          <w:p w14:paraId="6B4EFE42" w14:textId="006F2420"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816</w:t>
            </w:r>
          </w:p>
        </w:tc>
      </w:tr>
      <w:tr w:rsidR="00A6017B" w14:paraId="30DAB610" w14:textId="77777777" w:rsidTr="002210DF">
        <w:tc>
          <w:tcPr>
            <w:tcW w:w="7792" w:type="dxa"/>
          </w:tcPr>
          <w:p w14:paraId="6C18A06B" w14:textId="012DCA45"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 xml:space="preserve">Balances as </w:t>
            </w:r>
            <w:proofErr w:type="gramStart"/>
            <w:r>
              <w:rPr>
                <w:rFonts w:ascii="Times New Roman" w:hAnsi="Times New Roman" w:cs="Times New Roman"/>
                <w:lang w:val="en-US"/>
              </w:rPr>
              <w:t>at</w:t>
            </w:r>
            <w:proofErr w:type="gramEnd"/>
            <w:r>
              <w:rPr>
                <w:rFonts w:ascii="Times New Roman" w:hAnsi="Times New Roman" w:cs="Times New Roman"/>
                <w:lang w:val="en-US"/>
              </w:rPr>
              <w:t xml:space="preserve"> 1 July 1966 - Sales Ledger - Debit</w:t>
            </w:r>
          </w:p>
        </w:tc>
        <w:tc>
          <w:tcPr>
            <w:tcW w:w="1366" w:type="dxa"/>
          </w:tcPr>
          <w:p w14:paraId="07CF2568" w14:textId="2A1D8FA4"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9,616</w:t>
            </w:r>
          </w:p>
        </w:tc>
      </w:tr>
      <w:tr w:rsidR="00A6017B" w14:paraId="0FAAE38A" w14:textId="77777777" w:rsidTr="002210DF">
        <w:tc>
          <w:tcPr>
            <w:tcW w:w="7792" w:type="dxa"/>
          </w:tcPr>
          <w:p w14:paraId="51874EE4" w14:textId="681A0CC3"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 xml:space="preserve">                                                                    - Credit</w:t>
            </w:r>
          </w:p>
        </w:tc>
        <w:tc>
          <w:tcPr>
            <w:tcW w:w="1366" w:type="dxa"/>
          </w:tcPr>
          <w:p w14:paraId="4EEA5AD1" w14:textId="7ABD744C"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292</w:t>
            </w:r>
          </w:p>
        </w:tc>
      </w:tr>
      <w:tr w:rsidR="00A6017B" w14:paraId="1844D00B" w14:textId="77777777" w:rsidTr="002210DF">
        <w:tc>
          <w:tcPr>
            <w:tcW w:w="7792" w:type="dxa"/>
          </w:tcPr>
          <w:p w14:paraId="29E7CFEB" w14:textId="543BE211"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 xml:space="preserve">                                            - Purchases Ledger - Debit</w:t>
            </w:r>
          </w:p>
        </w:tc>
        <w:tc>
          <w:tcPr>
            <w:tcW w:w="1366" w:type="dxa"/>
          </w:tcPr>
          <w:p w14:paraId="3D203959" w14:textId="7749181C"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171</w:t>
            </w:r>
          </w:p>
        </w:tc>
      </w:tr>
      <w:tr w:rsidR="00A6017B" w14:paraId="1C833E60" w14:textId="77777777" w:rsidTr="002210DF">
        <w:tc>
          <w:tcPr>
            <w:tcW w:w="7792" w:type="dxa"/>
          </w:tcPr>
          <w:p w14:paraId="31896D05" w14:textId="3E34376F"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 xml:space="preserve">                                                                            - Credit</w:t>
            </w:r>
          </w:p>
        </w:tc>
        <w:tc>
          <w:tcPr>
            <w:tcW w:w="1366" w:type="dxa"/>
          </w:tcPr>
          <w:p w14:paraId="00281390" w14:textId="719731D2"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8,470</w:t>
            </w:r>
          </w:p>
        </w:tc>
      </w:tr>
      <w:tr w:rsidR="00A6017B" w14:paraId="5F1C3A66" w14:textId="77777777" w:rsidTr="002210DF">
        <w:tc>
          <w:tcPr>
            <w:tcW w:w="7792" w:type="dxa"/>
          </w:tcPr>
          <w:p w14:paraId="362CB8A5" w14:textId="4645985F"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Bills of Exchange dishonored</w:t>
            </w:r>
          </w:p>
        </w:tc>
        <w:tc>
          <w:tcPr>
            <w:tcW w:w="1366" w:type="dxa"/>
          </w:tcPr>
          <w:p w14:paraId="6CB461E3" w14:textId="49D67279"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550</w:t>
            </w:r>
          </w:p>
        </w:tc>
      </w:tr>
      <w:tr w:rsidR="00A6017B" w14:paraId="567D88FF" w14:textId="77777777" w:rsidTr="002210DF">
        <w:tc>
          <w:tcPr>
            <w:tcW w:w="7792" w:type="dxa"/>
          </w:tcPr>
          <w:p w14:paraId="059B8C0F" w14:textId="059E5946"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Goods Purchases on Credit</w:t>
            </w:r>
          </w:p>
        </w:tc>
        <w:tc>
          <w:tcPr>
            <w:tcW w:w="1366" w:type="dxa"/>
          </w:tcPr>
          <w:p w14:paraId="3B58BDFE" w14:textId="7F2B3CFD"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71,639</w:t>
            </w:r>
          </w:p>
        </w:tc>
      </w:tr>
      <w:tr w:rsidR="00A6017B" w14:paraId="5FF16207" w14:textId="77777777" w:rsidTr="002210DF">
        <w:tc>
          <w:tcPr>
            <w:tcW w:w="7792" w:type="dxa"/>
          </w:tcPr>
          <w:p w14:paraId="31C027E0" w14:textId="0CF7620A"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Goods returned by customers</w:t>
            </w:r>
          </w:p>
        </w:tc>
        <w:tc>
          <w:tcPr>
            <w:tcW w:w="1366" w:type="dxa"/>
          </w:tcPr>
          <w:p w14:paraId="33C677DE" w14:textId="411EF3D6"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1,313</w:t>
            </w:r>
          </w:p>
        </w:tc>
      </w:tr>
      <w:tr w:rsidR="00A6017B" w14:paraId="50ADC1C9" w14:textId="77777777" w:rsidTr="002210DF">
        <w:tc>
          <w:tcPr>
            <w:tcW w:w="7792" w:type="dxa"/>
          </w:tcPr>
          <w:p w14:paraId="480BD1D3" w14:textId="4FFA5D5E"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Discounts allowed to customers</w:t>
            </w:r>
          </w:p>
        </w:tc>
        <w:tc>
          <w:tcPr>
            <w:tcW w:w="1366" w:type="dxa"/>
          </w:tcPr>
          <w:p w14:paraId="087D7993" w14:textId="326EDD9E"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1,871</w:t>
            </w:r>
          </w:p>
        </w:tc>
      </w:tr>
      <w:tr w:rsidR="00A6017B" w14:paraId="1A95DA98" w14:textId="77777777" w:rsidTr="002210DF">
        <w:tc>
          <w:tcPr>
            <w:tcW w:w="7792" w:type="dxa"/>
          </w:tcPr>
          <w:p w14:paraId="02A6E2F0" w14:textId="594A8B99"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Discounts received from suppliers</w:t>
            </w:r>
          </w:p>
        </w:tc>
        <w:tc>
          <w:tcPr>
            <w:tcW w:w="1366" w:type="dxa"/>
          </w:tcPr>
          <w:p w14:paraId="575CB4ED" w14:textId="655A9EAC"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1,717</w:t>
            </w:r>
          </w:p>
        </w:tc>
      </w:tr>
      <w:tr w:rsidR="00A6017B" w14:paraId="31EC35CB" w14:textId="77777777" w:rsidTr="002210DF">
        <w:tc>
          <w:tcPr>
            <w:tcW w:w="7792" w:type="dxa"/>
          </w:tcPr>
          <w:p w14:paraId="787154C5" w14:textId="405D3DDA"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Cash received from customers</w:t>
            </w:r>
          </w:p>
        </w:tc>
        <w:tc>
          <w:tcPr>
            <w:tcW w:w="1366" w:type="dxa"/>
          </w:tcPr>
          <w:p w14:paraId="2ECE0D97" w14:textId="60711F8F"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94,333</w:t>
            </w:r>
          </w:p>
        </w:tc>
      </w:tr>
      <w:tr w:rsidR="00A6017B" w14:paraId="4E7B596F" w14:textId="77777777" w:rsidTr="002210DF">
        <w:tc>
          <w:tcPr>
            <w:tcW w:w="7792" w:type="dxa"/>
          </w:tcPr>
          <w:p w14:paraId="657EC71F" w14:textId="452316C6"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Goods returned to suppliers</w:t>
            </w:r>
          </w:p>
        </w:tc>
        <w:tc>
          <w:tcPr>
            <w:tcW w:w="1366" w:type="dxa"/>
          </w:tcPr>
          <w:p w14:paraId="4BA9DC75" w14:textId="734A5CA5"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1,401</w:t>
            </w:r>
          </w:p>
        </w:tc>
      </w:tr>
      <w:tr w:rsidR="00A6017B" w14:paraId="1B6E0945" w14:textId="77777777" w:rsidTr="002210DF">
        <w:tc>
          <w:tcPr>
            <w:tcW w:w="7792" w:type="dxa"/>
          </w:tcPr>
          <w:p w14:paraId="5DED0402" w14:textId="3DFE4850"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Accounts settled by contra</w:t>
            </w:r>
          </w:p>
        </w:tc>
        <w:tc>
          <w:tcPr>
            <w:tcW w:w="1366" w:type="dxa"/>
          </w:tcPr>
          <w:p w14:paraId="68BFA6C7" w14:textId="33357F21"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1,213</w:t>
            </w:r>
          </w:p>
        </w:tc>
      </w:tr>
      <w:tr w:rsidR="00A6017B" w14:paraId="3BA818D0" w14:textId="77777777" w:rsidTr="002210DF">
        <w:tc>
          <w:tcPr>
            <w:tcW w:w="7792" w:type="dxa"/>
          </w:tcPr>
          <w:p w14:paraId="7EDF9038" w14:textId="627E96C3"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 xml:space="preserve">Minority Balances as </w:t>
            </w:r>
            <w:proofErr w:type="gramStart"/>
            <w:r>
              <w:rPr>
                <w:rFonts w:ascii="Times New Roman" w:hAnsi="Times New Roman" w:cs="Times New Roman"/>
                <w:lang w:val="en-US"/>
              </w:rPr>
              <w:t>at</w:t>
            </w:r>
            <w:proofErr w:type="gramEnd"/>
            <w:r>
              <w:rPr>
                <w:rFonts w:ascii="Times New Roman" w:hAnsi="Times New Roman" w:cs="Times New Roman"/>
                <w:lang w:val="en-US"/>
              </w:rPr>
              <w:t xml:space="preserve"> 30 June 1967</w:t>
            </w:r>
          </w:p>
        </w:tc>
        <w:tc>
          <w:tcPr>
            <w:tcW w:w="1366" w:type="dxa"/>
          </w:tcPr>
          <w:p w14:paraId="61ACC255" w14:textId="77777777" w:rsidR="00A6017B" w:rsidRDefault="00A6017B" w:rsidP="00E30D88">
            <w:pPr>
              <w:spacing w:after="120" w:line="276" w:lineRule="auto"/>
              <w:jc w:val="right"/>
              <w:rPr>
                <w:rFonts w:ascii="Times New Roman" w:hAnsi="Times New Roman" w:cs="Times New Roman"/>
                <w:lang w:val="en-US"/>
              </w:rPr>
            </w:pPr>
          </w:p>
        </w:tc>
      </w:tr>
      <w:tr w:rsidR="00A6017B" w14:paraId="2E1915CA" w14:textId="77777777" w:rsidTr="002210DF">
        <w:tc>
          <w:tcPr>
            <w:tcW w:w="7792" w:type="dxa"/>
          </w:tcPr>
          <w:p w14:paraId="0AFC65F7" w14:textId="6C4C657F"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 xml:space="preserve">        - Purchases Ledger</w:t>
            </w:r>
          </w:p>
        </w:tc>
        <w:tc>
          <w:tcPr>
            <w:tcW w:w="1366" w:type="dxa"/>
          </w:tcPr>
          <w:p w14:paraId="0FE061EA" w14:textId="08F0B38C"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68</w:t>
            </w:r>
          </w:p>
        </w:tc>
      </w:tr>
      <w:tr w:rsidR="00A6017B" w14:paraId="4E10FB28" w14:textId="77777777" w:rsidTr="002210DF">
        <w:tc>
          <w:tcPr>
            <w:tcW w:w="7792" w:type="dxa"/>
          </w:tcPr>
          <w:p w14:paraId="51422379" w14:textId="131363D1" w:rsidR="00A6017B" w:rsidRDefault="00A6017B" w:rsidP="00E30D88">
            <w:pPr>
              <w:spacing w:after="120" w:line="276" w:lineRule="auto"/>
              <w:jc w:val="both"/>
              <w:rPr>
                <w:rFonts w:ascii="Times New Roman" w:hAnsi="Times New Roman" w:cs="Times New Roman"/>
                <w:lang w:val="en-US"/>
              </w:rPr>
            </w:pPr>
            <w:r>
              <w:rPr>
                <w:rFonts w:ascii="Times New Roman" w:hAnsi="Times New Roman" w:cs="Times New Roman"/>
                <w:lang w:val="en-US"/>
              </w:rPr>
              <w:t xml:space="preserve">        - Sales Ledger</w:t>
            </w:r>
          </w:p>
        </w:tc>
        <w:tc>
          <w:tcPr>
            <w:tcW w:w="1366" w:type="dxa"/>
          </w:tcPr>
          <w:p w14:paraId="7157BD95" w14:textId="4BDBFF38" w:rsidR="00A6017B" w:rsidRDefault="00A6017B" w:rsidP="00E30D88">
            <w:pPr>
              <w:spacing w:after="120" w:line="276" w:lineRule="auto"/>
              <w:jc w:val="right"/>
              <w:rPr>
                <w:rFonts w:ascii="Times New Roman" w:hAnsi="Times New Roman" w:cs="Times New Roman"/>
                <w:lang w:val="en-US"/>
              </w:rPr>
            </w:pPr>
            <w:r>
              <w:rPr>
                <w:rFonts w:ascii="Times New Roman" w:hAnsi="Times New Roman" w:cs="Times New Roman"/>
                <w:lang w:val="en-US"/>
              </w:rPr>
              <w:t>261</w:t>
            </w:r>
          </w:p>
        </w:tc>
      </w:tr>
    </w:tbl>
    <w:p w14:paraId="591FFA48" w14:textId="77777777" w:rsidR="00A6017B" w:rsidRDefault="00A6017B" w:rsidP="00E30D88">
      <w:pPr>
        <w:spacing w:after="120" w:line="276" w:lineRule="auto"/>
        <w:jc w:val="both"/>
        <w:rPr>
          <w:rFonts w:ascii="Times New Roman" w:hAnsi="Times New Roman" w:cs="Times New Roman"/>
          <w:lang w:val="en-US"/>
        </w:rPr>
      </w:pPr>
    </w:p>
    <w:p w14:paraId="30412B3B" w14:textId="49CC3BC6" w:rsidR="00A74F31" w:rsidRPr="00A6017B" w:rsidRDefault="00A74F31" w:rsidP="00E30D88">
      <w:pPr>
        <w:spacing w:after="120" w:line="276" w:lineRule="auto"/>
        <w:jc w:val="both"/>
        <w:rPr>
          <w:rFonts w:ascii="Times New Roman" w:hAnsi="Times New Roman" w:cs="Times New Roman"/>
          <w:lang w:val="en-US"/>
        </w:rPr>
      </w:pPr>
      <w:r w:rsidRPr="00A74F31">
        <w:rPr>
          <w:rFonts w:ascii="Times New Roman" w:hAnsi="Times New Roman" w:cs="Times New Roman"/>
          <w:b/>
          <w:bCs/>
          <w:lang w:val="en-US"/>
        </w:rPr>
        <w:t>You are required to</w:t>
      </w:r>
      <w:r w:rsidRPr="00A6017B">
        <w:rPr>
          <w:rFonts w:ascii="Times New Roman" w:hAnsi="Times New Roman" w:cs="Times New Roman"/>
          <w:lang w:val="en-US"/>
        </w:rPr>
        <w:t xml:space="preserve"> construct the control accounts as they would appear in the Company’s general ledger</w:t>
      </w:r>
      <w:r w:rsidR="006169E8">
        <w:rPr>
          <w:rFonts w:ascii="Times New Roman" w:hAnsi="Times New Roman" w:cs="Times New Roman"/>
          <w:lang w:val="en-US"/>
        </w:rPr>
        <w:t>.</w:t>
      </w:r>
    </w:p>
    <w:sectPr w:rsidR="00A74F31" w:rsidRPr="00A601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17B"/>
    <w:rsid w:val="000043D0"/>
    <w:rsid w:val="00140178"/>
    <w:rsid w:val="002210DF"/>
    <w:rsid w:val="004F28E3"/>
    <w:rsid w:val="005764A6"/>
    <w:rsid w:val="006153BE"/>
    <w:rsid w:val="006169E8"/>
    <w:rsid w:val="008C02CC"/>
    <w:rsid w:val="00A6017B"/>
    <w:rsid w:val="00A74F31"/>
    <w:rsid w:val="00A921C9"/>
    <w:rsid w:val="00B71AC7"/>
    <w:rsid w:val="00D77327"/>
    <w:rsid w:val="00E30D88"/>
    <w:rsid w:val="00EB491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A73D6AC"/>
  <w15:chartTrackingRefBased/>
  <w15:docId w15:val="{B340793E-1BAD-CC47-8CE0-BF8A2C525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MY"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01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60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melvin chia</dc:creator>
  <cp:keywords/>
  <dc:description/>
  <cp:lastModifiedBy>melvin chia</cp:lastModifiedBy>
  <cp:revision>11</cp:revision>
  <dcterms:created xsi:type="dcterms:W3CDTF">2023-05-02T09:21:00Z</dcterms:created>
  <dcterms:modified xsi:type="dcterms:W3CDTF">2023-05-02T10:41:00Z</dcterms:modified>
</cp:coreProperties>
</file>