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27DA" w14:textId="6335A11F" w:rsidR="003E6E8B" w:rsidRPr="003E6E8B" w:rsidRDefault="003E6E8B">
      <w:pPr>
        <w:rPr>
          <w:rFonts w:ascii="MiSans Normal" w:eastAsia="MiSans Normal" w:hAnsi="MiSans Normal"/>
          <w:b/>
          <w:bCs/>
          <w:sz w:val="22"/>
          <w:szCs w:val="22"/>
          <w:lang w:val="en-GB"/>
        </w:rPr>
      </w:pPr>
      <w:r w:rsidRPr="003E6E8B">
        <w:rPr>
          <w:rFonts w:ascii="MiSans Normal" w:eastAsia="MiSans Normal" w:hAnsi="MiSans Normal"/>
          <w:b/>
          <w:bCs/>
          <w:sz w:val="22"/>
          <w:szCs w:val="22"/>
          <w:lang w:val="en-GB"/>
        </w:rPr>
        <w:t>Practice 2</w:t>
      </w:r>
    </w:p>
    <w:p w14:paraId="7DE76066" w14:textId="18DF6C68" w:rsidR="008C02CC" w:rsidRPr="00D54D8D" w:rsidRDefault="002B1518">
      <w:pPr>
        <w:rPr>
          <w:rFonts w:ascii="MiSans Normal" w:eastAsia="MiSans Normal" w:hAnsi="MiSans Normal"/>
          <w:sz w:val="21"/>
          <w:szCs w:val="21"/>
          <w:lang w:val="en-GB"/>
        </w:rPr>
      </w:pPr>
      <w:r w:rsidRPr="00D54D8D">
        <w:rPr>
          <w:rFonts w:ascii="MiSans Normal" w:eastAsia="MiSans Normal" w:hAnsi="MiSans Normal"/>
          <w:sz w:val="21"/>
          <w:szCs w:val="21"/>
          <w:lang w:val="en-GB"/>
        </w:rPr>
        <w:t>Chee Hwa, Laila and Vimala had been in partnership for several years sharing profits and losses in the ratio 3:2:1. Their last Statement Of Financial Position prepared before dissolution on 31 December Year 2 was as follows:</w:t>
      </w:r>
    </w:p>
    <w:p w14:paraId="0E6F5064" w14:textId="77777777" w:rsidR="002B1518" w:rsidRPr="00D54D8D" w:rsidRDefault="002B1518">
      <w:pPr>
        <w:rPr>
          <w:rFonts w:ascii="MiSans Normal" w:eastAsia="MiSans Normal" w:hAnsi="MiSans Normal"/>
          <w:sz w:val="21"/>
          <w:szCs w:val="21"/>
          <w:lang w:val="en-GB"/>
        </w:rPr>
      </w:pPr>
    </w:p>
    <w:p w14:paraId="498504E4" w14:textId="36B2B6E5" w:rsidR="002B1518" w:rsidRPr="00D54D8D" w:rsidRDefault="002B1518" w:rsidP="002B1518">
      <w:pPr>
        <w:jc w:val="center"/>
        <w:rPr>
          <w:rFonts w:ascii="MiSans Normal" w:eastAsia="MiSans Normal" w:hAnsi="MiSans Normal"/>
          <w:sz w:val="21"/>
          <w:szCs w:val="21"/>
          <w:lang w:val="en-GB"/>
        </w:rPr>
      </w:pPr>
      <w:r w:rsidRPr="00D54D8D">
        <w:rPr>
          <w:rFonts w:ascii="MiSans Normal" w:eastAsia="MiSans Normal" w:hAnsi="MiSans Normal"/>
          <w:sz w:val="21"/>
          <w:szCs w:val="21"/>
          <w:lang w:val="en-GB"/>
        </w:rPr>
        <w:t>Chee Hwa, Laila And Vimala</w:t>
      </w:r>
    </w:p>
    <w:p w14:paraId="243C77E1" w14:textId="08948E72" w:rsidR="002B1518" w:rsidRPr="00D54D8D" w:rsidRDefault="002B1518" w:rsidP="002B1518">
      <w:pPr>
        <w:jc w:val="center"/>
        <w:rPr>
          <w:rFonts w:ascii="MiSans Normal" w:eastAsia="MiSans Normal" w:hAnsi="MiSans Normal"/>
          <w:b/>
          <w:bCs/>
          <w:sz w:val="21"/>
          <w:szCs w:val="21"/>
          <w:lang w:val="en-GB"/>
        </w:rPr>
      </w:pPr>
      <w:r w:rsidRPr="00D54D8D">
        <w:rPr>
          <w:rFonts w:ascii="MiSans Normal" w:eastAsia="MiSans Normal" w:hAnsi="MiSans Normal"/>
          <w:b/>
          <w:bCs/>
          <w:sz w:val="21"/>
          <w:szCs w:val="21"/>
          <w:lang w:val="en-GB"/>
        </w:rPr>
        <w:t>Statement Of Financial Position</w:t>
      </w:r>
    </w:p>
    <w:p w14:paraId="3C639FEA" w14:textId="253613D5" w:rsidR="002B1518" w:rsidRPr="00D54D8D" w:rsidRDefault="002B1518" w:rsidP="002B1518">
      <w:pPr>
        <w:jc w:val="center"/>
        <w:rPr>
          <w:rFonts w:ascii="MiSans Normal" w:eastAsia="MiSans Normal" w:hAnsi="MiSans Normal"/>
          <w:sz w:val="21"/>
          <w:szCs w:val="21"/>
          <w:lang w:val="en-GB"/>
        </w:rPr>
      </w:pPr>
      <w:r w:rsidRPr="00D54D8D">
        <w:rPr>
          <w:rFonts w:ascii="MiSans Normal" w:eastAsia="MiSans Normal" w:hAnsi="MiSans Normal"/>
          <w:sz w:val="21"/>
          <w:szCs w:val="21"/>
          <w:lang w:val="en-GB"/>
        </w:rPr>
        <w:t>As At 31 December Year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1418"/>
        <w:gridCol w:w="1366"/>
      </w:tblGrid>
      <w:tr w:rsidR="002B1518" w:rsidRPr="00D54D8D" w14:paraId="3DB8F8A7" w14:textId="77777777" w:rsidTr="002B1518">
        <w:tc>
          <w:tcPr>
            <w:tcW w:w="6232" w:type="dxa"/>
          </w:tcPr>
          <w:p w14:paraId="061C4FF1" w14:textId="77777777" w:rsidR="002B1518" w:rsidRPr="00D54D8D" w:rsidRDefault="002B1518" w:rsidP="002B1518">
            <w:pPr>
              <w:jc w:val="center"/>
              <w:rPr>
                <w:rFonts w:ascii="MiSans Normal" w:eastAsia="MiSans Normal" w:hAnsi="MiSans Normal"/>
                <w:sz w:val="21"/>
                <w:szCs w:val="21"/>
                <w:lang w:val="en-GB"/>
              </w:rPr>
            </w:pPr>
          </w:p>
        </w:tc>
        <w:tc>
          <w:tcPr>
            <w:tcW w:w="1418" w:type="dxa"/>
          </w:tcPr>
          <w:p w14:paraId="073381C8" w14:textId="7BBE30FA" w:rsidR="002B1518" w:rsidRPr="00D54D8D" w:rsidRDefault="002B1518" w:rsidP="002B1518">
            <w:pPr>
              <w:jc w:val="center"/>
              <w:rPr>
                <w:rFonts w:ascii="MiSans Normal" w:eastAsia="MiSans Normal" w:hAnsi="MiSans Normal"/>
                <w:b/>
                <w:bCs/>
                <w:sz w:val="21"/>
                <w:szCs w:val="21"/>
                <w:lang w:val="en-GB"/>
              </w:rPr>
            </w:pPr>
            <w:r w:rsidRPr="00D54D8D">
              <w:rPr>
                <w:rFonts w:ascii="MiSans Normal" w:eastAsia="MiSans Normal" w:hAnsi="MiSans Normal"/>
                <w:b/>
                <w:bCs/>
                <w:sz w:val="21"/>
                <w:szCs w:val="21"/>
                <w:lang w:val="en-GB"/>
              </w:rPr>
              <w:t xml:space="preserve">     RM</w:t>
            </w:r>
          </w:p>
        </w:tc>
        <w:tc>
          <w:tcPr>
            <w:tcW w:w="1366" w:type="dxa"/>
          </w:tcPr>
          <w:p w14:paraId="5E069618" w14:textId="14C9E4B4" w:rsidR="002B1518" w:rsidRPr="00D54D8D" w:rsidRDefault="002B1518" w:rsidP="002B1518">
            <w:pPr>
              <w:jc w:val="center"/>
              <w:rPr>
                <w:rFonts w:ascii="MiSans Normal" w:eastAsia="MiSans Normal" w:hAnsi="MiSans Normal"/>
                <w:b/>
                <w:bCs/>
                <w:sz w:val="21"/>
                <w:szCs w:val="21"/>
                <w:lang w:val="en-GB"/>
              </w:rPr>
            </w:pPr>
            <w:r w:rsidRPr="00D54D8D">
              <w:rPr>
                <w:rFonts w:ascii="MiSans Normal" w:eastAsia="MiSans Normal" w:hAnsi="MiSans Normal"/>
                <w:b/>
                <w:bCs/>
                <w:sz w:val="21"/>
                <w:szCs w:val="21"/>
                <w:lang w:val="en-GB"/>
              </w:rPr>
              <w:t xml:space="preserve">     RM</w:t>
            </w:r>
          </w:p>
        </w:tc>
      </w:tr>
      <w:tr w:rsidR="002B1518" w:rsidRPr="00D54D8D" w14:paraId="7A57F82A" w14:textId="77777777" w:rsidTr="002B1518">
        <w:tc>
          <w:tcPr>
            <w:tcW w:w="6232" w:type="dxa"/>
          </w:tcPr>
          <w:p w14:paraId="7C27E1A7" w14:textId="7400D519" w:rsidR="002B1518" w:rsidRPr="00D54D8D" w:rsidRDefault="002B1518" w:rsidP="002B1518">
            <w:pPr>
              <w:rPr>
                <w:rFonts w:ascii="MiSans Normal" w:eastAsia="MiSans Normal" w:hAnsi="MiSans Normal"/>
                <w:b/>
                <w:bCs/>
                <w:sz w:val="21"/>
                <w:szCs w:val="21"/>
                <w:lang w:val="en-GB"/>
              </w:rPr>
            </w:pPr>
            <w:r w:rsidRPr="00D54D8D">
              <w:rPr>
                <w:rFonts w:ascii="MiSans Normal" w:eastAsia="MiSans Normal" w:hAnsi="MiSans Normal"/>
                <w:b/>
                <w:bCs/>
                <w:sz w:val="21"/>
                <w:szCs w:val="21"/>
                <w:lang w:val="en-GB"/>
              </w:rPr>
              <w:t>Non-current Assets</w:t>
            </w:r>
          </w:p>
        </w:tc>
        <w:tc>
          <w:tcPr>
            <w:tcW w:w="1418" w:type="dxa"/>
          </w:tcPr>
          <w:p w14:paraId="2108AC58" w14:textId="77777777" w:rsidR="002B1518" w:rsidRPr="00D54D8D" w:rsidRDefault="002B1518" w:rsidP="002B1518">
            <w:pPr>
              <w:jc w:val="center"/>
              <w:rPr>
                <w:rFonts w:ascii="MiSans Normal" w:eastAsia="MiSans Normal" w:hAnsi="MiSans Normal"/>
                <w:sz w:val="21"/>
                <w:szCs w:val="21"/>
                <w:lang w:val="en-GB"/>
              </w:rPr>
            </w:pPr>
          </w:p>
        </w:tc>
        <w:tc>
          <w:tcPr>
            <w:tcW w:w="1366" w:type="dxa"/>
          </w:tcPr>
          <w:p w14:paraId="64C87C5D" w14:textId="77777777" w:rsidR="002B1518" w:rsidRPr="00D54D8D" w:rsidRDefault="002B1518" w:rsidP="002B1518">
            <w:pPr>
              <w:jc w:val="center"/>
              <w:rPr>
                <w:rFonts w:ascii="MiSans Normal" w:eastAsia="MiSans Normal" w:hAnsi="MiSans Normal"/>
                <w:sz w:val="21"/>
                <w:szCs w:val="21"/>
                <w:lang w:val="en-GB"/>
              </w:rPr>
            </w:pPr>
          </w:p>
        </w:tc>
      </w:tr>
      <w:tr w:rsidR="002B1518" w:rsidRPr="00D54D8D" w14:paraId="3AE75552" w14:textId="77777777" w:rsidTr="002B1518">
        <w:tc>
          <w:tcPr>
            <w:tcW w:w="6232" w:type="dxa"/>
          </w:tcPr>
          <w:p w14:paraId="1BD8512E" w14:textId="7537E9D3" w:rsidR="002B1518" w:rsidRPr="00D54D8D" w:rsidRDefault="002B1518" w:rsidP="002B1518">
            <w:pPr>
              <w:rPr>
                <w:rFonts w:ascii="MiSans Normal" w:eastAsia="MiSans Normal" w:hAnsi="MiSans Normal"/>
                <w:sz w:val="21"/>
                <w:szCs w:val="21"/>
                <w:lang w:val="en-GB"/>
              </w:rPr>
            </w:pPr>
            <w:r w:rsidRPr="00D54D8D">
              <w:rPr>
                <w:rFonts w:ascii="MiSans Normal" w:eastAsia="MiSans Normal" w:hAnsi="MiSans Normal"/>
                <w:i/>
                <w:iCs/>
                <w:sz w:val="21"/>
                <w:szCs w:val="21"/>
                <w:lang w:val="en-GB"/>
              </w:rPr>
              <w:t>Less:</w:t>
            </w:r>
            <w:r w:rsidRPr="00D54D8D">
              <w:rPr>
                <w:rFonts w:ascii="MiSans Normal" w:eastAsia="MiSans Normal" w:hAnsi="MiSans Normal"/>
                <w:sz w:val="21"/>
                <w:szCs w:val="21"/>
                <w:lang w:val="en-GB"/>
              </w:rPr>
              <w:t xml:space="preserve"> Accumulated Depreciation</w:t>
            </w:r>
          </w:p>
        </w:tc>
        <w:tc>
          <w:tcPr>
            <w:tcW w:w="1418" w:type="dxa"/>
            <w:vAlign w:val="center"/>
          </w:tcPr>
          <w:p w14:paraId="54AF172B" w14:textId="26964163" w:rsidR="002B1518" w:rsidRPr="00D54D8D" w:rsidRDefault="002B1518" w:rsidP="002B1518">
            <w:pPr>
              <w:jc w:val="right"/>
              <w:rPr>
                <w:rFonts w:ascii="MiSans Normal" w:eastAsia="MiSans Normal" w:hAnsi="MiSans Normal"/>
                <w:sz w:val="21"/>
                <w:szCs w:val="21"/>
                <w:lang w:val="en-GB"/>
              </w:rPr>
            </w:pPr>
            <w:r w:rsidRPr="00D54D8D">
              <w:rPr>
                <w:rFonts w:ascii="MiSans Normal" w:eastAsia="MiSans Normal" w:hAnsi="MiSans Normal"/>
                <w:sz w:val="21"/>
                <w:szCs w:val="21"/>
                <w:lang w:val="en-GB"/>
              </w:rPr>
              <w:t>20,000</w:t>
            </w:r>
          </w:p>
        </w:tc>
        <w:tc>
          <w:tcPr>
            <w:tcW w:w="1366" w:type="dxa"/>
            <w:vAlign w:val="center"/>
          </w:tcPr>
          <w:p w14:paraId="5C18B512" w14:textId="77777777" w:rsidR="002B1518" w:rsidRPr="00D54D8D" w:rsidRDefault="002B1518" w:rsidP="002B1518">
            <w:pPr>
              <w:jc w:val="right"/>
              <w:rPr>
                <w:rFonts w:ascii="MiSans Normal" w:eastAsia="MiSans Normal" w:hAnsi="MiSans Normal"/>
                <w:sz w:val="21"/>
                <w:szCs w:val="21"/>
                <w:lang w:val="en-GB"/>
              </w:rPr>
            </w:pPr>
          </w:p>
        </w:tc>
      </w:tr>
      <w:tr w:rsidR="002B1518" w:rsidRPr="00D54D8D" w14:paraId="7A85AF00" w14:textId="77777777" w:rsidTr="002B1518">
        <w:tc>
          <w:tcPr>
            <w:tcW w:w="6232" w:type="dxa"/>
          </w:tcPr>
          <w:p w14:paraId="57C10633" w14:textId="77777777" w:rsidR="002B1518" w:rsidRPr="00D54D8D" w:rsidRDefault="002B1518" w:rsidP="002B1518">
            <w:pPr>
              <w:rPr>
                <w:rFonts w:ascii="MiSans Normal" w:eastAsia="MiSans Normal" w:hAnsi="MiSans Normal"/>
                <w:sz w:val="21"/>
                <w:szCs w:val="21"/>
                <w:lang w:val="en-GB"/>
              </w:rPr>
            </w:pPr>
          </w:p>
        </w:tc>
        <w:tc>
          <w:tcPr>
            <w:tcW w:w="1418" w:type="dxa"/>
            <w:tcBorders>
              <w:bottom w:val="single" w:sz="12" w:space="0" w:color="auto"/>
            </w:tcBorders>
            <w:vAlign w:val="center"/>
          </w:tcPr>
          <w:p w14:paraId="2317C372" w14:textId="7C4D22DB" w:rsidR="002B1518" w:rsidRPr="00D54D8D" w:rsidRDefault="002B1518" w:rsidP="002B1518">
            <w:pPr>
              <w:jc w:val="right"/>
              <w:rPr>
                <w:rFonts w:ascii="MiSans Normal" w:eastAsia="MiSans Normal" w:hAnsi="MiSans Normal"/>
                <w:sz w:val="21"/>
                <w:szCs w:val="21"/>
                <w:lang w:val="en-GB"/>
              </w:rPr>
            </w:pPr>
            <w:r w:rsidRPr="00D54D8D">
              <w:rPr>
                <w:rFonts w:ascii="MiSans Normal" w:eastAsia="MiSans Normal" w:hAnsi="MiSans Normal"/>
                <w:sz w:val="21"/>
                <w:szCs w:val="21"/>
                <w:lang w:val="en-GB"/>
              </w:rPr>
              <w:t>(6,000)</w:t>
            </w:r>
          </w:p>
        </w:tc>
        <w:tc>
          <w:tcPr>
            <w:tcW w:w="1366" w:type="dxa"/>
            <w:vAlign w:val="center"/>
          </w:tcPr>
          <w:p w14:paraId="61B1BBFC" w14:textId="48B61058" w:rsidR="002B1518" w:rsidRPr="00D54D8D" w:rsidRDefault="002B1518" w:rsidP="002B1518">
            <w:pPr>
              <w:jc w:val="right"/>
              <w:rPr>
                <w:rFonts w:ascii="MiSans Normal" w:eastAsia="MiSans Normal" w:hAnsi="MiSans Normal"/>
                <w:sz w:val="21"/>
                <w:szCs w:val="21"/>
                <w:lang w:val="en-GB"/>
              </w:rPr>
            </w:pPr>
            <w:r w:rsidRPr="00D54D8D">
              <w:rPr>
                <w:rFonts w:ascii="MiSans Normal" w:eastAsia="MiSans Normal" w:hAnsi="MiSans Normal"/>
                <w:sz w:val="21"/>
                <w:szCs w:val="21"/>
                <w:lang w:val="en-GB"/>
              </w:rPr>
              <w:t>14,000</w:t>
            </w:r>
          </w:p>
        </w:tc>
      </w:tr>
      <w:tr w:rsidR="002B1518" w:rsidRPr="00D54D8D" w14:paraId="5EFF4CDE" w14:textId="77777777" w:rsidTr="002B1518">
        <w:tc>
          <w:tcPr>
            <w:tcW w:w="6232" w:type="dxa"/>
          </w:tcPr>
          <w:p w14:paraId="759787E3" w14:textId="3EE9742E" w:rsidR="002B1518" w:rsidRPr="00D54D8D" w:rsidRDefault="002B1518" w:rsidP="002B1518">
            <w:pPr>
              <w:rPr>
                <w:rFonts w:ascii="MiSans Normal" w:eastAsia="MiSans Normal" w:hAnsi="MiSans Normal"/>
                <w:b/>
                <w:bCs/>
                <w:sz w:val="21"/>
                <w:szCs w:val="21"/>
                <w:lang w:val="en-GB"/>
              </w:rPr>
            </w:pPr>
            <w:r w:rsidRPr="00D54D8D">
              <w:rPr>
                <w:rFonts w:ascii="MiSans Normal" w:eastAsia="MiSans Normal" w:hAnsi="MiSans Normal"/>
                <w:b/>
                <w:bCs/>
                <w:sz w:val="21"/>
                <w:szCs w:val="21"/>
                <w:lang w:val="en-GB"/>
              </w:rPr>
              <w:t>Current Assets</w:t>
            </w:r>
          </w:p>
        </w:tc>
        <w:tc>
          <w:tcPr>
            <w:tcW w:w="1418" w:type="dxa"/>
            <w:tcBorders>
              <w:top w:val="single" w:sz="12" w:space="0" w:color="auto"/>
            </w:tcBorders>
          </w:tcPr>
          <w:p w14:paraId="5144F717" w14:textId="77777777" w:rsidR="002B1518" w:rsidRPr="00D54D8D" w:rsidRDefault="002B1518" w:rsidP="002B1518">
            <w:pPr>
              <w:jc w:val="center"/>
              <w:rPr>
                <w:rFonts w:ascii="MiSans Normal" w:eastAsia="MiSans Normal" w:hAnsi="MiSans Normal"/>
                <w:sz w:val="21"/>
                <w:szCs w:val="21"/>
                <w:lang w:val="en-GB"/>
              </w:rPr>
            </w:pPr>
          </w:p>
        </w:tc>
        <w:tc>
          <w:tcPr>
            <w:tcW w:w="1366" w:type="dxa"/>
          </w:tcPr>
          <w:p w14:paraId="5DC80F49" w14:textId="77777777" w:rsidR="002B1518" w:rsidRPr="00D54D8D" w:rsidRDefault="002B1518" w:rsidP="002B1518">
            <w:pPr>
              <w:jc w:val="center"/>
              <w:rPr>
                <w:rFonts w:ascii="MiSans Normal" w:eastAsia="MiSans Normal" w:hAnsi="MiSans Normal"/>
                <w:sz w:val="21"/>
                <w:szCs w:val="21"/>
                <w:lang w:val="en-GB"/>
              </w:rPr>
            </w:pPr>
          </w:p>
        </w:tc>
      </w:tr>
      <w:tr w:rsidR="002B1518" w:rsidRPr="00D54D8D" w14:paraId="35F3A731" w14:textId="77777777" w:rsidTr="002B1518">
        <w:tc>
          <w:tcPr>
            <w:tcW w:w="6232" w:type="dxa"/>
          </w:tcPr>
          <w:p w14:paraId="0334C954" w14:textId="49F6C5D4" w:rsidR="002B1518" w:rsidRPr="00D54D8D" w:rsidRDefault="002B1518" w:rsidP="002B1518">
            <w:pPr>
              <w:rPr>
                <w:rFonts w:ascii="MiSans Normal" w:eastAsia="MiSans Normal" w:hAnsi="MiSans Normal"/>
                <w:sz w:val="21"/>
                <w:szCs w:val="21"/>
                <w:lang w:val="en-GB"/>
              </w:rPr>
            </w:pPr>
            <w:r w:rsidRPr="00D54D8D">
              <w:rPr>
                <w:rFonts w:ascii="MiSans Normal" w:eastAsia="MiSans Normal" w:hAnsi="MiSans Normal"/>
                <w:sz w:val="21"/>
                <w:szCs w:val="21"/>
                <w:lang w:val="en-GB"/>
              </w:rPr>
              <w:t>Inventory</w:t>
            </w:r>
          </w:p>
        </w:tc>
        <w:tc>
          <w:tcPr>
            <w:tcW w:w="1418" w:type="dxa"/>
            <w:vAlign w:val="center"/>
          </w:tcPr>
          <w:p w14:paraId="1B1C457A" w14:textId="0AC0716E" w:rsidR="002B1518" w:rsidRPr="00D54D8D" w:rsidRDefault="002B1518" w:rsidP="002B1518">
            <w:pPr>
              <w:jc w:val="right"/>
              <w:rPr>
                <w:rFonts w:ascii="MiSans Normal" w:eastAsia="MiSans Normal" w:hAnsi="MiSans Normal"/>
                <w:sz w:val="21"/>
                <w:szCs w:val="21"/>
                <w:lang w:val="en-GB"/>
              </w:rPr>
            </w:pPr>
            <w:r w:rsidRPr="00D54D8D">
              <w:rPr>
                <w:rFonts w:ascii="MiSans Normal" w:eastAsia="MiSans Normal" w:hAnsi="MiSans Normal"/>
                <w:sz w:val="21"/>
                <w:szCs w:val="21"/>
                <w:lang w:val="en-GB"/>
              </w:rPr>
              <w:t>5,000</w:t>
            </w:r>
          </w:p>
        </w:tc>
        <w:tc>
          <w:tcPr>
            <w:tcW w:w="1366" w:type="dxa"/>
            <w:vAlign w:val="center"/>
          </w:tcPr>
          <w:p w14:paraId="26A22860" w14:textId="77777777" w:rsidR="002B1518" w:rsidRPr="00D54D8D" w:rsidRDefault="002B1518" w:rsidP="002B1518">
            <w:pPr>
              <w:jc w:val="right"/>
              <w:rPr>
                <w:rFonts w:ascii="MiSans Normal" w:eastAsia="MiSans Normal" w:hAnsi="MiSans Normal"/>
                <w:sz w:val="21"/>
                <w:szCs w:val="21"/>
                <w:lang w:val="en-GB"/>
              </w:rPr>
            </w:pPr>
          </w:p>
        </w:tc>
      </w:tr>
      <w:tr w:rsidR="002B1518" w:rsidRPr="00D54D8D" w14:paraId="275211B8" w14:textId="77777777" w:rsidTr="002B1518">
        <w:tc>
          <w:tcPr>
            <w:tcW w:w="6232" w:type="dxa"/>
          </w:tcPr>
          <w:p w14:paraId="5F61E51B" w14:textId="104B04DA" w:rsidR="002B1518" w:rsidRPr="00D54D8D" w:rsidRDefault="002B1518" w:rsidP="002B1518">
            <w:pPr>
              <w:rPr>
                <w:rFonts w:ascii="MiSans Normal" w:eastAsia="MiSans Normal" w:hAnsi="MiSans Normal"/>
                <w:sz w:val="21"/>
                <w:szCs w:val="21"/>
                <w:lang w:val="en-GB"/>
              </w:rPr>
            </w:pPr>
            <w:r w:rsidRPr="00D54D8D">
              <w:rPr>
                <w:rFonts w:ascii="MiSans Normal" w:eastAsia="MiSans Normal" w:hAnsi="MiSans Normal"/>
                <w:sz w:val="21"/>
                <w:szCs w:val="21"/>
                <w:lang w:val="en-GB"/>
              </w:rPr>
              <w:t>Accounts Receivable</w:t>
            </w:r>
          </w:p>
        </w:tc>
        <w:tc>
          <w:tcPr>
            <w:tcW w:w="1418" w:type="dxa"/>
            <w:tcBorders>
              <w:bottom w:val="single" w:sz="12" w:space="0" w:color="auto"/>
            </w:tcBorders>
            <w:vAlign w:val="center"/>
          </w:tcPr>
          <w:p w14:paraId="499F22A3" w14:textId="4ACCBFDC" w:rsidR="002B1518" w:rsidRPr="00D54D8D" w:rsidRDefault="002B1518" w:rsidP="002B1518">
            <w:pPr>
              <w:jc w:val="right"/>
              <w:rPr>
                <w:rFonts w:ascii="MiSans Normal" w:eastAsia="MiSans Normal" w:hAnsi="MiSans Normal"/>
                <w:sz w:val="21"/>
                <w:szCs w:val="21"/>
                <w:lang w:val="en-GB"/>
              </w:rPr>
            </w:pPr>
            <w:r w:rsidRPr="00D54D8D">
              <w:rPr>
                <w:rFonts w:ascii="MiSans Normal" w:eastAsia="MiSans Normal" w:hAnsi="MiSans Normal"/>
                <w:sz w:val="21"/>
                <w:szCs w:val="21"/>
                <w:lang w:val="en-GB"/>
              </w:rPr>
              <w:t>21,000</w:t>
            </w:r>
          </w:p>
        </w:tc>
        <w:tc>
          <w:tcPr>
            <w:tcW w:w="1366" w:type="dxa"/>
            <w:tcBorders>
              <w:bottom w:val="single" w:sz="12" w:space="0" w:color="auto"/>
            </w:tcBorders>
            <w:vAlign w:val="center"/>
          </w:tcPr>
          <w:p w14:paraId="79009B48" w14:textId="0E22F719" w:rsidR="002B1518" w:rsidRPr="00D54D8D" w:rsidRDefault="002B1518" w:rsidP="002B1518">
            <w:pPr>
              <w:jc w:val="right"/>
              <w:rPr>
                <w:rFonts w:ascii="MiSans Normal" w:eastAsia="MiSans Normal" w:hAnsi="MiSans Normal"/>
                <w:sz w:val="21"/>
                <w:szCs w:val="21"/>
                <w:lang w:val="en-GB"/>
              </w:rPr>
            </w:pPr>
            <w:r w:rsidRPr="00D54D8D">
              <w:rPr>
                <w:rFonts w:ascii="MiSans Normal" w:eastAsia="MiSans Normal" w:hAnsi="MiSans Normal"/>
                <w:sz w:val="21"/>
                <w:szCs w:val="21"/>
                <w:lang w:val="en-GB"/>
              </w:rPr>
              <w:t>26,000</w:t>
            </w:r>
          </w:p>
        </w:tc>
      </w:tr>
      <w:tr w:rsidR="002B1518" w:rsidRPr="00D54D8D" w14:paraId="1B458760" w14:textId="77777777" w:rsidTr="002B1518">
        <w:tc>
          <w:tcPr>
            <w:tcW w:w="6232" w:type="dxa"/>
          </w:tcPr>
          <w:p w14:paraId="127E7D5D" w14:textId="78DFB313" w:rsidR="002B1518" w:rsidRPr="00D54D8D" w:rsidRDefault="002B1518" w:rsidP="002B1518">
            <w:pPr>
              <w:rPr>
                <w:rFonts w:ascii="MiSans Normal" w:eastAsia="MiSans Normal" w:hAnsi="MiSans Normal"/>
                <w:i/>
                <w:iCs/>
                <w:sz w:val="21"/>
                <w:szCs w:val="21"/>
                <w:lang w:val="en-GB"/>
              </w:rPr>
            </w:pPr>
            <w:r w:rsidRPr="00D54D8D">
              <w:rPr>
                <w:rFonts w:ascii="MiSans Normal" w:eastAsia="MiSans Normal" w:hAnsi="MiSans Normal"/>
                <w:i/>
                <w:iCs/>
                <w:sz w:val="21"/>
                <w:szCs w:val="21"/>
                <w:lang w:val="en-GB"/>
              </w:rPr>
              <w:t>Total Assets</w:t>
            </w:r>
          </w:p>
        </w:tc>
        <w:tc>
          <w:tcPr>
            <w:tcW w:w="1418" w:type="dxa"/>
            <w:tcBorders>
              <w:top w:val="single" w:sz="12" w:space="0" w:color="auto"/>
            </w:tcBorders>
            <w:vAlign w:val="center"/>
          </w:tcPr>
          <w:p w14:paraId="199C1122" w14:textId="77777777" w:rsidR="002B1518" w:rsidRPr="00D54D8D" w:rsidRDefault="002B1518" w:rsidP="002B1518">
            <w:pPr>
              <w:jc w:val="right"/>
              <w:rPr>
                <w:rFonts w:ascii="MiSans Normal" w:eastAsia="MiSans Normal" w:hAnsi="MiSans Normal"/>
                <w:sz w:val="21"/>
                <w:szCs w:val="21"/>
                <w:lang w:val="en-GB"/>
              </w:rPr>
            </w:pPr>
          </w:p>
        </w:tc>
        <w:tc>
          <w:tcPr>
            <w:tcW w:w="1366" w:type="dxa"/>
            <w:tcBorders>
              <w:top w:val="single" w:sz="12" w:space="0" w:color="auto"/>
              <w:bottom w:val="double" w:sz="12" w:space="0" w:color="auto"/>
            </w:tcBorders>
            <w:vAlign w:val="center"/>
          </w:tcPr>
          <w:p w14:paraId="134A0F9C" w14:textId="757CB391" w:rsidR="002B1518" w:rsidRPr="00D54D8D" w:rsidRDefault="002B1518" w:rsidP="002B1518">
            <w:pPr>
              <w:jc w:val="right"/>
              <w:rPr>
                <w:rFonts w:ascii="MiSans Normal" w:eastAsia="MiSans Normal" w:hAnsi="MiSans Normal"/>
                <w:sz w:val="21"/>
                <w:szCs w:val="21"/>
                <w:lang w:val="en-GB"/>
              </w:rPr>
            </w:pPr>
            <w:r w:rsidRPr="00D54D8D">
              <w:rPr>
                <w:rFonts w:ascii="MiSans Normal" w:eastAsia="MiSans Normal" w:hAnsi="MiSans Normal"/>
                <w:sz w:val="21"/>
                <w:szCs w:val="21"/>
                <w:lang w:val="en-GB"/>
              </w:rPr>
              <w:t>40,000</w:t>
            </w:r>
          </w:p>
        </w:tc>
      </w:tr>
      <w:tr w:rsidR="002B1518" w:rsidRPr="00D54D8D" w14:paraId="303201FD" w14:textId="77777777" w:rsidTr="002B1518">
        <w:tc>
          <w:tcPr>
            <w:tcW w:w="6232" w:type="dxa"/>
          </w:tcPr>
          <w:p w14:paraId="209EB986" w14:textId="77777777" w:rsidR="002B1518" w:rsidRPr="00D54D8D" w:rsidRDefault="002B1518" w:rsidP="002B1518">
            <w:pPr>
              <w:rPr>
                <w:rFonts w:ascii="MiSans Normal" w:eastAsia="MiSans Normal" w:hAnsi="MiSans Normal"/>
                <w:i/>
                <w:iCs/>
                <w:sz w:val="21"/>
                <w:szCs w:val="21"/>
                <w:lang w:val="en-GB"/>
              </w:rPr>
            </w:pPr>
          </w:p>
        </w:tc>
        <w:tc>
          <w:tcPr>
            <w:tcW w:w="1418" w:type="dxa"/>
          </w:tcPr>
          <w:p w14:paraId="04400387" w14:textId="77777777" w:rsidR="002B1518" w:rsidRPr="00D54D8D" w:rsidRDefault="002B1518" w:rsidP="002B1518">
            <w:pPr>
              <w:jc w:val="center"/>
              <w:rPr>
                <w:rFonts w:ascii="MiSans Normal" w:eastAsia="MiSans Normal" w:hAnsi="MiSans Normal"/>
                <w:sz w:val="21"/>
                <w:szCs w:val="21"/>
                <w:lang w:val="en-GB"/>
              </w:rPr>
            </w:pPr>
          </w:p>
        </w:tc>
        <w:tc>
          <w:tcPr>
            <w:tcW w:w="1366" w:type="dxa"/>
            <w:tcBorders>
              <w:top w:val="double" w:sz="12" w:space="0" w:color="auto"/>
            </w:tcBorders>
          </w:tcPr>
          <w:p w14:paraId="26D40E36" w14:textId="77777777" w:rsidR="002B1518" w:rsidRPr="00D54D8D" w:rsidRDefault="002B1518" w:rsidP="002B1518">
            <w:pPr>
              <w:jc w:val="center"/>
              <w:rPr>
                <w:rFonts w:ascii="MiSans Normal" w:eastAsia="MiSans Normal" w:hAnsi="MiSans Normal"/>
                <w:sz w:val="21"/>
                <w:szCs w:val="21"/>
                <w:lang w:val="en-GB"/>
              </w:rPr>
            </w:pPr>
          </w:p>
        </w:tc>
      </w:tr>
      <w:tr w:rsidR="002B1518" w:rsidRPr="00D54D8D" w14:paraId="4E5F959E" w14:textId="77777777" w:rsidTr="002B1518">
        <w:tc>
          <w:tcPr>
            <w:tcW w:w="6232" w:type="dxa"/>
          </w:tcPr>
          <w:p w14:paraId="576F0E48" w14:textId="56B936D8" w:rsidR="002B1518" w:rsidRPr="00D54D8D" w:rsidRDefault="002B1518" w:rsidP="002B1518">
            <w:pPr>
              <w:rPr>
                <w:rFonts w:ascii="MiSans Normal" w:eastAsia="MiSans Normal" w:hAnsi="MiSans Normal"/>
                <w:b/>
                <w:bCs/>
                <w:sz w:val="21"/>
                <w:szCs w:val="21"/>
                <w:lang w:val="en-GB"/>
              </w:rPr>
            </w:pPr>
            <w:r w:rsidRPr="00D54D8D">
              <w:rPr>
                <w:rFonts w:ascii="MiSans Normal" w:eastAsia="MiSans Normal" w:hAnsi="MiSans Normal"/>
                <w:b/>
                <w:bCs/>
                <w:sz w:val="21"/>
                <w:szCs w:val="21"/>
                <w:lang w:val="en-GB"/>
              </w:rPr>
              <w:t>Owners’ Equity</w:t>
            </w:r>
          </w:p>
        </w:tc>
        <w:tc>
          <w:tcPr>
            <w:tcW w:w="1418" w:type="dxa"/>
          </w:tcPr>
          <w:p w14:paraId="5A83B426" w14:textId="77777777" w:rsidR="002B1518" w:rsidRPr="00D54D8D" w:rsidRDefault="002B1518" w:rsidP="002B1518">
            <w:pPr>
              <w:jc w:val="center"/>
              <w:rPr>
                <w:rFonts w:ascii="MiSans Normal" w:eastAsia="MiSans Normal" w:hAnsi="MiSans Normal"/>
                <w:sz w:val="21"/>
                <w:szCs w:val="21"/>
                <w:lang w:val="en-GB"/>
              </w:rPr>
            </w:pPr>
          </w:p>
        </w:tc>
        <w:tc>
          <w:tcPr>
            <w:tcW w:w="1366" w:type="dxa"/>
          </w:tcPr>
          <w:p w14:paraId="09A30766" w14:textId="77777777" w:rsidR="002B1518" w:rsidRPr="00D54D8D" w:rsidRDefault="002B1518" w:rsidP="002B1518">
            <w:pPr>
              <w:jc w:val="center"/>
              <w:rPr>
                <w:rFonts w:ascii="MiSans Normal" w:eastAsia="MiSans Normal" w:hAnsi="MiSans Normal"/>
                <w:sz w:val="21"/>
                <w:szCs w:val="21"/>
                <w:lang w:val="en-GB"/>
              </w:rPr>
            </w:pPr>
          </w:p>
        </w:tc>
      </w:tr>
      <w:tr w:rsidR="002B1518" w:rsidRPr="00D54D8D" w14:paraId="6FD40D51" w14:textId="77777777" w:rsidTr="002B1518">
        <w:tc>
          <w:tcPr>
            <w:tcW w:w="6232" w:type="dxa"/>
          </w:tcPr>
          <w:p w14:paraId="5EF7D619" w14:textId="1E5A1D50" w:rsidR="002B1518" w:rsidRPr="00D54D8D" w:rsidRDefault="002B1518" w:rsidP="002B1518">
            <w:pPr>
              <w:rPr>
                <w:rFonts w:ascii="MiSans Normal" w:eastAsia="MiSans Normal" w:hAnsi="MiSans Normal"/>
                <w:sz w:val="21"/>
                <w:szCs w:val="21"/>
                <w:lang w:val="en-GB"/>
              </w:rPr>
            </w:pPr>
            <w:r w:rsidRPr="00D54D8D">
              <w:rPr>
                <w:rFonts w:ascii="MiSans Normal" w:eastAsia="MiSans Normal" w:hAnsi="MiSans Normal"/>
                <w:sz w:val="21"/>
                <w:szCs w:val="21"/>
                <w:lang w:val="en-GB"/>
              </w:rPr>
              <w:t>Capital</w:t>
            </w:r>
          </w:p>
        </w:tc>
        <w:tc>
          <w:tcPr>
            <w:tcW w:w="1418" w:type="dxa"/>
          </w:tcPr>
          <w:p w14:paraId="64DD7052" w14:textId="77777777" w:rsidR="002B1518" w:rsidRPr="00D54D8D" w:rsidRDefault="002B1518" w:rsidP="002B1518">
            <w:pPr>
              <w:jc w:val="center"/>
              <w:rPr>
                <w:rFonts w:ascii="MiSans Normal" w:eastAsia="MiSans Normal" w:hAnsi="MiSans Normal"/>
                <w:sz w:val="21"/>
                <w:szCs w:val="21"/>
                <w:lang w:val="en-GB"/>
              </w:rPr>
            </w:pPr>
          </w:p>
        </w:tc>
        <w:tc>
          <w:tcPr>
            <w:tcW w:w="1366" w:type="dxa"/>
          </w:tcPr>
          <w:p w14:paraId="1E2AED08" w14:textId="77777777" w:rsidR="002B1518" w:rsidRPr="00D54D8D" w:rsidRDefault="002B1518" w:rsidP="002B1518">
            <w:pPr>
              <w:jc w:val="center"/>
              <w:rPr>
                <w:rFonts w:ascii="MiSans Normal" w:eastAsia="MiSans Normal" w:hAnsi="MiSans Normal"/>
                <w:sz w:val="21"/>
                <w:szCs w:val="21"/>
                <w:lang w:val="en-GB"/>
              </w:rPr>
            </w:pPr>
          </w:p>
        </w:tc>
      </w:tr>
      <w:tr w:rsidR="002B1518" w:rsidRPr="00D54D8D" w14:paraId="5E870224" w14:textId="77777777" w:rsidTr="002B1518">
        <w:tc>
          <w:tcPr>
            <w:tcW w:w="6232" w:type="dxa"/>
          </w:tcPr>
          <w:p w14:paraId="5644B656" w14:textId="2FC89FDE" w:rsidR="002B1518" w:rsidRPr="00D54D8D" w:rsidRDefault="002B1518" w:rsidP="002B1518">
            <w:pPr>
              <w:rPr>
                <w:rFonts w:ascii="MiSans Normal" w:eastAsia="MiSans Normal" w:hAnsi="MiSans Normal"/>
                <w:sz w:val="21"/>
                <w:szCs w:val="21"/>
                <w:lang w:val="en-GB"/>
              </w:rPr>
            </w:pPr>
            <w:r w:rsidRPr="00D54D8D">
              <w:rPr>
                <w:rFonts w:ascii="MiSans Normal" w:eastAsia="MiSans Normal" w:hAnsi="MiSans Normal"/>
                <w:sz w:val="21"/>
                <w:szCs w:val="21"/>
                <w:lang w:val="en-GB"/>
              </w:rPr>
              <w:t xml:space="preserve">    Chee Hwa</w:t>
            </w:r>
          </w:p>
        </w:tc>
        <w:tc>
          <w:tcPr>
            <w:tcW w:w="1418" w:type="dxa"/>
            <w:vAlign w:val="center"/>
          </w:tcPr>
          <w:p w14:paraId="2513F755" w14:textId="79F22840" w:rsidR="002B1518" w:rsidRPr="00D54D8D" w:rsidRDefault="002B1518" w:rsidP="002B1518">
            <w:pPr>
              <w:jc w:val="right"/>
              <w:rPr>
                <w:rFonts w:ascii="MiSans Normal" w:eastAsia="MiSans Normal" w:hAnsi="MiSans Normal"/>
                <w:sz w:val="21"/>
                <w:szCs w:val="21"/>
                <w:lang w:val="en-GB"/>
              </w:rPr>
            </w:pPr>
            <w:r w:rsidRPr="00D54D8D">
              <w:rPr>
                <w:rFonts w:ascii="MiSans Normal" w:eastAsia="MiSans Normal" w:hAnsi="MiSans Normal"/>
                <w:sz w:val="21"/>
                <w:szCs w:val="21"/>
                <w:lang w:val="en-GB"/>
              </w:rPr>
              <w:t>4,000</w:t>
            </w:r>
          </w:p>
        </w:tc>
        <w:tc>
          <w:tcPr>
            <w:tcW w:w="1366" w:type="dxa"/>
            <w:vAlign w:val="center"/>
          </w:tcPr>
          <w:p w14:paraId="0A04358C" w14:textId="77777777" w:rsidR="002B1518" w:rsidRPr="00D54D8D" w:rsidRDefault="002B1518" w:rsidP="002B1518">
            <w:pPr>
              <w:jc w:val="right"/>
              <w:rPr>
                <w:rFonts w:ascii="MiSans Normal" w:eastAsia="MiSans Normal" w:hAnsi="MiSans Normal"/>
                <w:sz w:val="21"/>
                <w:szCs w:val="21"/>
                <w:lang w:val="en-GB"/>
              </w:rPr>
            </w:pPr>
          </w:p>
        </w:tc>
      </w:tr>
      <w:tr w:rsidR="002B1518" w:rsidRPr="00D54D8D" w14:paraId="483BE529" w14:textId="77777777" w:rsidTr="002B1518">
        <w:tc>
          <w:tcPr>
            <w:tcW w:w="6232" w:type="dxa"/>
          </w:tcPr>
          <w:p w14:paraId="3C3C7787" w14:textId="50C0704A" w:rsidR="002B1518" w:rsidRPr="00D54D8D" w:rsidRDefault="002B1518" w:rsidP="002B1518">
            <w:pPr>
              <w:rPr>
                <w:rFonts w:ascii="MiSans Normal" w:eastAsia="MiSans Normal" w:hAnsi="MiSans Normal"/>
                <w:sz w:val="21"/>
                <w:szCs w:val="21"/>
                <w:lang w:val="en-GB"/>
              </w:rPr>
            </w:pPr>
            <w:r w:rsidRPr="00D54D8D">
              <w:rPr>
                <w:rFonts w:ascii="MiSans Normal" w:eastAsia="MiSans Normal" w:hAnsi="MiSans Normal"/>
                <w:sz w:val="21"/>
                <w:szCs w:val="21"/>
                <w:lang w:val="en-GB"/>
              </w:rPr>
              <w:t xml:space="preserve">    Laila</w:t>
            </w:r>
          </w:p>
        </w:tc>
        <w:tc>
          <w:tcPr>
            <w:tcW w:w="1418" w:type="dxa"/>
            <w:vAlign w:val="center"/>
          </w:tcPr>
          <w:p w14:paraId="76C24923" w14:textId="357923EB" w:rsidR="002B1518" w:rsidRPr="00D54D8D" w:rsidRDefault="002B1518" w:rsidP="002B1518">
            <w:pPr>
              <w:jc w:val="right"/>
              <w:rPr>
                <w:rFonts w:ascii="MiSans Normal" w:eastAsia="MiSans Normal" w:hAnsi="MiSans Normal"/>
                <w:sz w:val="21"/>
                <w:szCs w:val="21"/>
                <w:lang w:val="en-GB"/>
              </w:rPr>
            </w:pPr>
            <w:r w:rsidRPr="00D54D8D">
              <w:rPr>
                <w:rFonts w:ascii="MiSans Normal" w:eastAsia="MiSans Normal" w:hAnsi="MiSans Normal"/>
                <w:sz w:val="21"/>
                <w:szCs w:val="21"/>
                <w:lang w:val="en-GB"/>
              </w:rPr>
              <w:t>4,000</w:t>
            </w:r>
          </w:p>
        </w:tc>
        <w:tc>
          <w:tcPr>
            <w:tcW w:w="1366" w:type="dxa"/>
            <w:vAlign w:val="center"/>
          </w:tcPr>
          <w:p w14:paraId="167CAE6A" w14:textId="77777777" w:rsidR="002B1518" w:rsidRPr="00D54D8D" w:rsidRDefault="002B1518" w:rsidP="002B1518">
            <w:pPr>
              <w:jc w:val="right"/>
              <w:rPr>
                <w:rFonts w:ascii="MiSans Normal" w:eastAsia="MiSans Normal" w:hAnsi="MiSans Normal"/>
                <w:sz w:val="21"/>
                <w:szCs w:val="21"/>
                <w:lang w:val="en-GB"/>
              </w:rPr>
            </w:pPr>
          </w:p>
        </w:tc>
      </w:tr>
      <w:tr w:rsidR="002B1518" w:rsidRPr="00D54D8D" w14:paraId="196362FC" w14:textId="77777777" w:rsidTr="002B1518">
        <w:tc>
          <w:tcPr>
            <w:tcW w:w="6232" w:type="dxa"/>
          </w:tcPr>
          <w:p w14:paraId="78D2E769" w14:textId="72B9D4B5" w:rsidR="002B1518" w:rsidRPr="00D54D8D" w:rsidRDefault="002B1518" w:rsidP="002B1518">
            <w:pPr>
              <w:rPr>
                <w:rFonts w:ascii="MiSans Normal" w:eastAsia="MiSans Normal" w:hAnsi="MiSans Normal"/>
                <w:sz w:val="21"/>
                <w:szCs w:val="21"/>
                <w:lang w:val="en-GB"/>
              </w:rPr>
            </w:pPr>
            <w:r w:rsidRPr="00D54D8D">
              <w:rPr>
                <w:rFonts w:ascii="MiSans Normal" w:eastAsia="MiSans Normal" w:hAnsi="MiSans Normal"/>
                <w:sz w:val="21"/>
                <w:szCs w:val="21"/>
                <w:lang w:val="en-GB"/>
              </w:rPr>
              <w:t xml:space="preserve">    Vimala</w:t>
            </w:r>
          </w:p>
        </w:tc>
        <w:tc>
          <w:tcPr>
            <w:tcW w:w="1418" w:type="dxa"/>
            <w:tcBorders>
              <w:bottom w:val="single" w:sz="12" w:space="0" w:color="auto"/>
            </w:tcBorders>
            <w:vAlign w:val="center"/>
          </w:tcPr>
          <w:p w14:paraId="4E04ADDD" w14:textId="3787A968" w:rsidR="002B1518" w:rsidRPr="00D54D8D" w:rsidRDefault="002B1518" w:rsidP="002B1518">
            <w:pPr>
              <w:jc w:val="right"/>
              <w:rPr>
                <w:rFonts w:ascii="MiSans Normal" w:eastAsia="MiSans Normal" w:hAnsi="MiSans Normal"/>
                <w:sz w:val="21"/>
                <w:szCs w:val="21"/>
                <w:lang w:val="en-GB"/>
              </w:rPr>
            </w:pPr>
            <w:r w:rsidRPr="00D54D8D">
              <w:rPr>
                <w:rFonts w:ascii="MiSans Normal" w:eastAsia="MiSans Normal" w:hAnsi="MiSans Normal"/>
                <w:sz w:val="21"/>
                <w:szCs w:val="21"/>
                <w:lang w:val="en-GB"/>
              </w:rPr>
              <w:t>2,000</w:t>
            </w:r>
          </w:p>
        </w:tc>
        <w:tc>
          <w:tcPr>
            <w:tcW w:w="1366" w:type="dxa"/>
            <w:vAlign w:val="center"/>
          </w:tcPr>
          <w:p w14:paraId="248EE7E8" w14:textId="651B2F3B" w:rsidR="002B1518" w:rsidRPr="00D54D8D" w:rsidRDefault="002B1518" w:rsidP="002B1518">
            <w:pPr>
              <w:jc w:val="right"/>
              <w:rPr>
                <w:rFonts w:ascii="MiSans Normal" w:eastAsia="MiSans Normal" w:hAnsi="MiSans Normal"/>
                <w:sz w:val="21"/>
                <w:szCs w:val="21"/>
                <w:lang w:val="en-GB"/>
              </w:rPr>
            </w:pPr>
            <w:r w:rsidRPr="00D54D8D">
              <w:rPr>
                <w:rFonts w:ascii="MiSans Normal" w:eastAsia="MiSans Normal" w:hAnsi="MiSans Normal"/>
                <w:sz w:val="21"/>
                <w:szCs w:val="21"/>
                <w:lang w:val="en-GB"/>
              </w:rPr>
              <w:t>10,000</w:t>
            </w:r>
          </w:p>
        </w:tc>
      </w:tr>
      <w:tr w:rsidR="002B1518" w:rsidRPr="00D54D8D" w14:paraId="2E25AACD" w14:textId="77777777" w:rsidTr="002B1518">
        <w:tc>
          <w:tcPr>
            <w:tcW w:w="6232" w:type="dxa"/>
          </w:tcPr>
          <w:p w14:paraId="1F2CBDF6" w14:textId="77777777" w:rsidR="002B1518" w:rsidRPr="00D54D8D" w:rsidRDefault="002B1518" w:rsidP="002B1518">
            <w:pPr>
              <w:rPr>
                <w:rFonts w:ascii="MiSans Normal" w:eastAsia="MiSans Normal" w:hAnsi="MiSans Normal"/>
                <w:sz w:val="21"/>
                <w:szCs w:val="21"/>
                <w:lang w:val="en-GB"/>
              </w:rPr>
            </w:pPr>
          </w:p>
        </w:tc>
        <w:tc>
          <w:tcPr>
            <w:tcW w:w="1418" w:type="dxa"/>
            <w:tcBorders>
              <w:top w:val="single" w:sz="12" w:space="0" w:color="auto"/>
            </w:tcBorders>
            <w:vAlign w:val="center"/>
          </w:tcPr>
          <w:p w14:paraId="12803E6B" w14:textId="77777777" w:rsidR="002B1518" w:rsidRPr="00D54D8D" w:rsidRDefault="002B1518" w:rsidP="002B1518">
            <w:pPr>
              <w:jc w:val="right"/>
              <w:rPr>
                <w:rFonts w:ascii="MiSans Normal" w:eastAsia="MiSans Normal" w:hAnsi="MiSans Normal"/>
                <w:sz w:val="21"/>
                <w:szCs w:val="21"/>
                <w:lang w:val="en-GB"/>
              </w:rPr>
            </w:pPr>
          </w:p>
        </w:tc>
        <w:tc>
          <w:tcPr>
            <w:tcW w:w="1366" w:type="dxa"/>
            <w:vAlign w:val="center"/>
          </w:tcPr>
          <w:p w14:paraId="5CE73D40" w14:textId="77777777" w:rsidR="002B1518" w:rsidRPr="00D54D8D" w:rsidRDefault="002B1518" w:rsidP="002B1518">
            <w:pPr>
              <w:jc w:val="right"/>
              <w:rPr>
                <w:rFonts w:ascii="MiSans Normal" w:eastAsia="MiSans Normal" w:hAnsi="MiSans Normal"/>
                <w:sz w:val="21"/>
                <w:szCs w:val="21"/>
                <w:lang w:val="en-GB"/>
              </w:rPr>
            </w:pPr>
          </w:p>
        </w:tc>
      </w:tr>
      <w:tr w:rsidR="002B1518" w:rsidRPr="00D54D8D" w14:paraId="5ABA8C25" w14:textId="77777777" w:rsidTr="002B1518">
        <w:tc>
          <w:tcPr>
            <w:tcW w:w="6232" w:type="dxa"/>
          </w:tcPr>
          <w:p w14:paraId="2A81F7C3" w14:textId="780AA098" w:rsidR="002B1518" w:rsidRPr="00D54D8D" w:rsidRDefault="002B1518" w:rsidP="002B1518">
            <w:pPr>
              <w:rPr>
                <w:rFonts w:ascii="MiSans Normal" w:eastAsia="MiSans Normal" w:hAnsi="MiSans Normal"/>
                <w:b/>
                <w:bCs/>
                <w:sz w:val="21"/>
                <w:szCs w:val="21"/>
                <w:lang w:val="en-GB"/>
              </w:rPr>
            </w:pPr>
            <w:r w:rsidRPr="00D54D8D">
              <w:rPr>
                <w:rFonts w:ascii="MiSans Normal" w:eastAsia="MiSans Normal" w:hAnsi="MiSans Normal"/>
                <w:b/>
                <w:bCs/>
                <w:sz w:val="21"/>
                <w:szCs w:val="21"/>
                <w:lang w:val="en-GB"/>
              </w:rPr>
              <w:t>Current Liabilities</w:t>
            </w:r>
          </w:p>
        </w:tc>
        <w:tc>
          <w:tcPr>
            <w:tcW w:w="1418" w:type="dxa"/>
            <w:vAlign w:val="center"/>
          </w:tcPr>
          <w:p w14:paraId="570AC86F" w14:textId="77777777" w:rsidR="002B1518" w:rsidRPr="00D54D8D" w:rsidRDefault="002B1518" w:rsidP="002B1518">
            <w:pPr>
              <w:jc w:val="right"/>
              <w:rPr>
                <w:rFonts w:ascii="MiSans Normal" w:eastAsia="MiSans Normal" w:hAnsi="MiSans Normal"/>
                <w:sz w:val="21"/>
                <w:szCs w:val="21"/>
                <w:lang w:val="en-GB"/>
              </w:rPr>
            </w:pPr>
          </w:p>
        </w:tc>
        <w:tc>
          <w:tcPr>
            <w:tcW w:w="1366" w:type="dxa"/>
            <w:vAlign w:val="center"/>
          </w:tcPr>
          <w:p w14:paraId="53B826EF" w14:textId="77777777" w:rsidR="002B1518" w:rsidRPr="00D54D8D" w:rsidRDefault="002B1518" w:rsidP="002B1518">
            <w:pPr>
              <w:jc w:val="right"/>
              <w:rPr>
                <w:rFonts w:ascii="MiSans Normal" w:eastAsia="MiSans Normal" w:hAnsi="MiSans Normal"/>
                <w:sz w:val="21"/>
                <w:szCs w:val="21"/>
                <w:lang w:val="en-GB"/>
              </w:rPr>
            </w:pPr>
          </w:p>
        </w:tc>
      </w:tr>
      <w:tr w:rsidR="002B1518" w:rsidRPr="00D54D8D" w14:paraId="2164295D" w14:textId="77777777" w:rsidTr="002B1518">
        <w:tc>
          <w:tcPr>
            <w:tcW w:w="6232" w:type="dxa"/>
          </w:tcPr>
          <w:p w14:paraId="4EB7F36D" w14:textId="163EDD24" w:rsidR="002B1518" w:rsidRPr="00D54D8D" w:rsidRDefault="002B1518" w:rsidP="002B1518">
            <w:pPr>
              <w:rPr>
                <w:rFonts w:ascii="MiSans Normal" w:eastAsia="MiSans Normal" w:hAnsi="MiSans Normal"/>
                <w:sz w:val="21"/>
                <w:szCs w:val="21"/>
                <w:lang w:val="en-GB"/>
              </w:rPr>
            </w:pPr>
            <w:r w:rsidRPr="00D54D8D">
              <w:rPr>
                <w:rFonts w:ascii="MiSans Normal" w:eastAsia="MiSans Normal" w:hAnsi="MiSans Normal"/>
                <w:sz w:val="21"/>
                <w:szCs w:val="21"/>
                <w:lang w:val="en-GB"/>
              </w:rPr>
              <w:t>Accounts Payable</w:t>
            </w:r>
          </w:p>
        </w:tc>
        <w:tc>
          <w:tcPr>
            <w:tcW w:w="1418" w:type="dxa"/>
            <w:vAlign w:val="center"/>
          </w:tcPr>
          <w:p w14:paraId="02027611" w14:textId="04CBA7AD" w:rsidR="002B1518" w:rsidRPr="00D54D8D" w:rsidRDefault="002B1518" w:rsidP="002B1518">
            <w:pPr>
              <w:jc w:val="right"/>
              <w:rPr>
                <w:rFonts w:ascii="MiSans Normal" w:eastAsia="MiSans Normal" w:hAnsi="MiSans Normal"/>
                <w:sz w:val="21"/>
                <w:szCs w:val="21"/>
                <w:lang w:val="en-GB"/>
              </w:rPr>
            </w:pPr>
            <w:r w:rsidRPr="00D54D8D">
              <w:rPr>
                <w:rFonts w:ascii="MiSans Normal" w:eastAsia="MiSans Normal" w:hAnsi="MiSans Normal"/>
                <w:sz w:val="21"/>
                <w:szCs w:val="21"/>
                <w:lang w:val="en-GB"/>
              </w:rPr>
              <w:t>17,000</w:t>
            </w:r>
          </w:p>
        </w:tc>
        <w:tc>
          <w:tcPr>
            <w:tcW w:w="1366" w:type="dxa"/>
            <w:vAlign w:val="center"/>
          </w:tcPr>
          <w:p w14:paraId="33781902" w14:textId="77777777" w:rsidR="002B1518" w:rsidRPr="00D54D8D" w:rsidRDefault="002B1518" w:rsidP="002B1518">
            <w:pPr>
              <w:jc w:val="right"/>
              <w:rPr>
                <w:rFonts w:ascii="MiSans Normal" w:eastAsia="MiSans Normal" w:hAnsi="MiSans Normal"/>
                <w:sz w:val="21"/>
                <w:szCs w:val="21"/>
                <w:lang w:val="en-GB"/>
              </w:rPr>
            </w:pPr>
          </w:p>
        </w:tc>
      </w:tr>
      <w:tr w:rsidR="002B1518" w:rsidRPr="00D54D8D" w14:paraId="610C1A67" w14:textId="77777777" w:rsidTr="002B1518">
        <w:tc>
          <w:tcPr>
            <w:tcW w:w="6232" w:type="dxa"/>
          </w:tcPr>
          <w:p w14:paraId="339806A9" w14:textId="18C3EF68" w:rsidR="002B1518" w:rsidRPr="00D54D8D" w:rsidRDefault="002B1518" w:rsidP="002B1518">
            <w:pPr>
              <w:rPr>
                <w:rFonts w:ascii="MiSans Normal" w:eastAsia="MiSans Normal" w:hAnsi="MiSans Normal"/>
                <w:sz w:val="21"/>
                <w:szCs w:val="21"/>
                <w:lang w:val="en-GB"/>
              </w:rPr>
            </w:pPr>
            <w:r w:rsidRPr="00D54D8D">
              <w:rPr>
                <w:rFonts w:ascii="MiSans Normal" w:eastAsia="MiSans Normal" w:hAnsi="MiSans Normal"/>
                <w:sz w:val="21"/>
                <w:szCs w:val="21"/>
                <w:lang w:val="en-GB"/>
              </w:rPr>
              <w:t>Bank Overdraft</w:t>
            </w:r>
          </w:p>
        </w:tc>
        <w:tc>
          <w:tcPr>
            <w:tcW w:w="1418" w:type="dxa"/>
            <w:tcBorders>
              <w:bottom w:val="single" w:sz="12" w:space="0" w:color="auto"/>
            </w:tcBorders>
            <w:vAlign w:val="center"/>
          </w:tcPr>
          <w:p w14:paraId="6A445A42" w14:textId="03BAE03C" w:rsidR="002B1518" w:rsidRPr="00D54D8D" w:rsidRDefault="002B1518" w:rsidP="002B1518">
            <w:pPr>
              <w:jc w:val="right"/>
              <w:rPr>
                <w:rFonts w:ascii="MiSans Normal" w:eastAsia="MiSans Normal" w:hAnsi="MiSans Normal"/>
                <w:sz w:val="21"/>
                <w:szCs w:val="21"/>
                <w:lang w:val="en-GB"/>
              </w:rPr>
            </w:pPr>
            <w:r w:rsidRPr="00D54D8D">
              <w:rPr>
                <w:rFonts w:ascii="MiSans Normal" w:eastAsia="MiSans Normal" w:hAnsi="MiSans Normal"/>
                <w:sz w:val="21"/>
                <w:szCs w:val="21"/>
                <w:lang w:val="en-GB"/>
              </w:rPr>
              <w:t>13,000</w:t>
            </w:r>
          </w:p>
        </w:tc>
        <w:tc>
          <w:tcPr>
            <w:tcW w:w="1366" w:type="dxa"/>
            <w:tcBorders>
              <w:bottom w:val="single" w:sz="12" w:space="0" w:color="auto"/>
            </w:tcBorders>
            <w:vAlign w:val="center"/>
          </w:tcPr>
          <w:p w14:paraId="5B478026" w14:textId="60DEB8EC" w:rsidR="002B1518" w:rsidRPr="00D54D8D" w:rsidRDefault="002B1518" w:rsidP="002B1518">
            <w:pPr>
              <w:jc w:val="right"/>
              <w:rPr>
                <w:rFonts w:ascii="MiSans Normal" w:eastAsia="MiSans Normal" w:hAnsi="MiSans Normal"/>
                <w:sz w:val="21"/>
                <w:szCs w:val="21"/>
                <w:lang w:val="en-GB"/>
              </w:rPr>
            </w:pPr>
            <w:r w:rsidRPr="00D54D8D">
              <w:rPr>
                <w:rFonts w:ascii="MiSans Normal" w:eastAsia="MiSans Normal" w:hAnsi="MiSans Normal"/>
                <w:sz w:val="21"/>
                <w:szCs w:val="21"/>
                <w:lang w:val="en-GB"/>
              </w:rPr>
              <w:t>30,000</w:t>
            </w:r>
          </w:p>
        </w:tc>
      </w:tr>
      <w:tr w:rsidR="002B1518" w:rsidRPr="00D54D8D" w14:paraId="0D873B1E" w14:textId="77777777" w:rsidTr="002B1518">
        <w:tc>
          <w:tcPr>
            <w:tcW w:w="6232" w:type="dxa"/>
          </w:tcPr>
          <w:p w14:paraId="0CBEEF1A" w14:textId="6F597D81" w:rsidR="002B1518" w:rsidRPr="00D54D8D" w:rsidRDefault="002B1518" w:rsidP="002B1518">
            <w:pPr>
              <w:rPr>
                <w:rFonts w:ascii="MiSans Normal" w:eastAsia="MiSans Normal" w:hAnsi="MiSans Normal"/>
                <w:i/>
                <w:iCs/>
                <w:sz w:val="21"/>
                <w:szCs w:val="21"/>
                <w:lang w:val="en-GB"/>
              </w:rPr>
            </w:pPr>
            <w:r w:rsidRPr="00D54D8D">
              <w:rPr>
                <w:rFonts w:ascii="MiSans Normal" w:eastAsia="MiSans Normal" w:hAnsi="MiSans Normal"/>
                <w:i/>
                <w:iCs/>
                <w:sz w:val="21"/>
                <w:szCs w:val="21"/>
                <w:lang w:val="en-GB"/>
              </w:rPr>
              <w:t>Total Equity And Liabilities</w:t>
            </w:r>
          </w:p>
        </w:tc>
        <w:tc>
          <w:tcPr>
            <w:tcW w:w="1418" w:type="dxa"/>
            <w:tcBorders>
              <w:top w:val="single" w:sz="12" w:space="0" w:color="auto"/>
            </w:tcBorders>
            <w:vAlign w:val="center"/>
          </w:tcPr>
          <w:p w14:paraId="13E76555" w14:textId="77777777" w:rsidR="002B1518" w:rsidRPr="00D54D8D" w:rsidRDefault="002B1518" w:rsidP="002B1518">
            <w:pPr>
              <w:jc w:val="right"/>
              <w:rPr>
                <w:rFonts w:ascii="MiSans Normal" w:eastAsia="MiSans Normal" w:hAnsi="MiSans Normal"/>
                <w:sz w:val="21"/>
                <w:szCs w:val="21"/>
                <w:lang w:val="en-GB"/>
              </w:rPr>
            </w:pPr>
          </w:p>
        </w:tc>
        <w:tc>
          <w:tcPr>
            <w:tcW w:w="1366" w:type="dxa"/>
            <w:tcBorders>
              <w:top w:val="single" w:sz="12" w:space="0" w:color="auto"/>
              <w:bottom w:val="double" w:sz="12" w:space="0" w:color="auto"/>
            </w:tcBorders>
            <w:vAlign w:val="center"/>
          </w:tcPr>
          <w:p w14:paraId="2F2730C8" w14:textId="571B7997" w:rsidR="002B1518" w:rsidRPr="00D54D8D" w:rsidRDefault="002B1518" w:rsidP="002B1518">
            <w:pPr>
              <w:jc w:val="right"/>
              <w:rPr>
                <w:rFonts w:ascii="MiSans Normal" w:eastAsia="MiSans Normal" w:hAnsi="MiSans Normal"/>
                <w:sz w:val="21"/>
                <w:szCs w:val="21"/>
                <w:lang w:val="en-GB"/>
              </w:rPr>
            </w:pPr>
            <w:r w:rsidRPr="00D54D8D">
              <w:rPr>
                <w:rFonts w:ascii="MiSans Normal" w:eastAsia="MiSans Normal" w:hAnsi="MiSans Normal"/>
                <w:sz w:val="21"/>
                <w:szCs w:val="21"/>
                <w:lang w:val="en-GB"/>
              </w:rPr>
              <w:t>40,000</w:t>
            </w:r>
          </w:p>
        </w:tc>
      </w:tr>
    </w:tbl>
    <w:p w14:paraId="0689224D" w14:textId="77777777" w:rsidR="002B1518" w:rsidRPr="00D54D8D" w:rsidRDefault="002B1518" w:rsidP="002B1518">
      <w:pPr>
        <w:jc w:val="center"/>
        <w:rPr>
          <w:rFonts w:ascii="MiSans Normal" w:eastAsia="MiSans Normal" w:hAnsi="MiSans Normal"/>
          <w:sz w:val="21"/>
          <w:szCs w:val="21"/>
          <w:lang w:val="en-GB"/>
        </w:rPr>
      </w:pPr>
    </w:p>
    <w:p w14:paraId="6FE778EE" w14:textId="71B1BA82" w:rsidR="00AD0407" w:rsidRPr="00D54D8D" w:rsidRDefault="00AD0407" w:rsidP="00AD0407">
      <w:pPr>
        <w:rPr>
          <w:rFonts w:ascii="MiSans Normal" w:eastAsia="MiSans Normal" w:hAnsi="MiSans Normal"/>
          <w:sz w:val="21"/>
          <w:szCs w:val="21"/>
          <w:lang w:val="en-GB"/>
        </w:rPr>
      </w:pPr>
      <w:r w:rsidRPr="00D54D8D">
        <w:rPr>
          <w:rFonts w:ascii="MiSans Normal" w:eastAsia="MiSans Normal" w:hAnsi="MiSans Normal"/>
          <w:sz w:val="21"/>
          <w:szCs w:val="21"/>
          <w:lang w:val="en-GB"/>
        </w:rPr>
        <w:t>Despite making good profits during recent years, they had become increasingly dependent on one major customer Abdul Wahab who owed the partnership a total amount of RM18,000.</w:t>
      </w:r>
    </w:p>
    <w:p w14:paraId="08904C25" w14:textId="77777777" w:rsidR="00AD0407" w:rsidRPr="00D54D8D" w:rsidRDefault="00AD0407" w:rsidP="00AD0407">
      <w:pPr>
        <w:rPr>
          <w:rFonts w:ascii="MiSans Normal" w:eastAsia="MiSans Normal" w:hAnsi="MiSans Normal"/>
          <w:sz w:val="21"/>
          <w:szCs w:val="21"/>
          <w:lang w:val="en-GB"/>
        </w:rPr>
      </w:pPr>
    </w:p>
    <w:p w14:paraId="1997B020" w14:textId="1787F4D8" w:rsidR="00AD0407" w:rsidRPr="00D54D8D" w:rsidRDefault="00AD0407" w:rsidP="00AD0407">
      <w:pPr>
        <w:rPr>
          <w:rFonts w:ascii="MiSans Normal" w:eastAsia="MiSans Normal" w:hAnsi="MiSans Normal"/>
          <w:sz w:val="21"/>
          <w:szCs w:val="21"/>
          <w:lang w:val="en-GB"/>
        </w:rPr>
      </w:pPr>
      <w:r w:rsidRPr="00D54D8D">
        <w:rPr>
          <w:rFonts w:ascii="MiSans Normal" w:eastAsia="MiSans Normal" w:hAnsi="MiSans Normal"/>
          <w:sz w:val="21"/>
          <w:szCs w:val="21"/>
          <w:lang w:val="en-GB"/>
        </w:rPr>
        <w:t>It had now been discovered that Abdul Wahab was insolvent and unlikely to repay any of the money owed by him. Reluctantly, the partners had decided to dissolve the partnership at the end of the reporting period.</w:t>
      </w:r>
    </w:p>
    <w:p w14:paraId="384E92E0" w14:textId="77777777" w:rsidR="00963A8A" w:rsidRPr="00D54D8D" w:rsidRDefault="00963A8A" w:rsidP="00AD0407">
      <w:pPr>
        <w:rPr>
          <w:rFonts w:ascii="MiSans Normal" w:eastAsia="MiSans Normal" w:hAnsi="MiSans Normal"/>
          <w:sz w:val="21"/>
          <w:szCs w:val="21"/>
          <w:lang w:val="en-GB"/>
        </w:rPr>
      </w:pPr>
    </w:p>
    <w:p w14:paraId="169DD729" w14:textId="77777777" w:rsidR="00D54D8D" w:rsidRPr="00D54D8D" w:rsidRDefault="00D54D8D" w:rsidP="00AD0407">
      <w:pPr>
        <w:rPr>
          <w:rFonts w:ascii="MiSans Normal" w:eastAsia="MiSans Normal" w:hAnsi="MiSans Normal"/>
          <w:sz w:val="21"/>
          <w:szCs w:val="21"/>
          <w:lang w:val="en-GB"/>
        </w:rPr>
      </w:pPr>
    </w:p>
    <w:p w14:paraId="04852E33" w14:textId="40540F2B" w:rsidR="00963A8A" w:rsidRPr="00D54D8D" w:rsidRDefault="00963A8A" w:rsidP="00AD0407">
      <w:pPr>
        <w:rPr>
          <w:rFonts w:ascii="MiSans Normal" w:eastAsia="MiSans Normal" w:hAnsi="MiSans Normal"/>
          <w:sz w:val="21"/>
          <w:szCs w:val="21"/>
          <w:lang w:val="en-GB"/>
        </w:rPr>
      </w:pPr>
      <w:r w:rsidRPr="00D54D8D">
        <w:rPr>
          <w:rFonts w:ascii="MiSans Normal" w:eastAsia="MiSans Normal" w:hAnsi="MiSans Normal"/>
          <w:sz w:val="21"/>
          <w:szCs w:val="21"/>
          <w:lang w:val="en-GB"/>
        </w:rPr>
        <w:lastRenderedPageBreak/>
        <w:t>The following were the details regarding the dissolution:</w:t>
      </w:r>
    </w:p>
    <w:p w14:paraId="6EE21CE0" w14:textId="5C0A31E0" w:rsidR="00963A8A" w:rsidRPr="00D54D8D" w:rsidRDefault="00D54D8D" w:rsidP="00963A8A">
      <w:pPr>
        <w:pStyle w:val="ListParagraph"/>
        <w:numPr>
          <w:ilvl w:val="0"/>
          <w:numId w:val="1"/>
        </w:numPr>
        <w:ind w:left="426" w:hanging="426"/>
        <w:rPr>
          <w:rFonts w:ascii="MiSans Normal" w:eastAsia="MiSans Normal" w:hAnsi="MiSans Normal"/>
          <w:sz w:val="21"/>
          <w:szCs w:val="21"/>
          <w:lang w:val="en-GB"/>
        </w:rPr>
      </w:pPr>
      <w:r w:rsidRPr="00D54D8D">
        <w:rPr>
          <w:rFonts w:ascii="MiSans Normal" w:eastAsia="MiSans Normal" w:hAnsi="MiSans Normal"/>
          <w:sz w:val="21"/>
          <w:szCs w:val="21"/>
          <w:lang w:val="en-GB"/>
        </w:rPr>
        <w:t>The inventory was sold to Nelson Bhd at its market price of RM4,000 in cash.</w:t>
      </w:r>
    </w:p>
    <w:p w14:paraId="637384E1" w14:textId="5F48A95A" w:rsidR="00D54D8D" w:rsidRPr="00D54D8D" w:rsidRDefault="00D54D8D" w:rsidP="00D54D8D">
      <w:pPr>
        <w:pStyle w:val="ListParagraph"/>
        <w:numPr>
          <w:ilvl w:val="0"/>
          <w:numId w:val="1"/>
        </w:numPr>
        <w:ind w:left="426" w:hanging="426"/>
        <w:rPr>
          <w:rFonts w:ascii="MiSans Normal" w:eastAsia="MiSans Normal" w:hAnsi="MiSans Normal"/>
          <w:sz w:val="21"/>
          <w:szCs w:val="21"/>
          <w:lang w:val="en-GB"/>
        </w:rPr>
      </w:pPr>
      <w:r w:rsidRPr="00D54D8D">
        <w:rPr>
          <w:rFonts w:ascii="MiSans Normal" w:eastAsia="MiSans Normal" w:hAnsi="MiSans Normal"/>
          <w:sz w:val="21"/>
          <w:szCs w:val="21"/>
          <w:lang w:val="en-GB"/>
        </w:rPr>
        <w:t>The non-current assets were sold for RM8,000 except for certain items of carrying amount RM5,000 were taken over by Chee Hwa at a valuation of RM7,000.</w:t>
      </w:r>
    </w:p>
    <w:p w14:paraId="6A8A0E72" w14:textId="15F11C78" w:rsidR="00D54D8D" w:rsidRPr="00D54D8D" w:rsidRDefault="00D54D8D" w:rsidP="00D54D8D">
      <w:pPr>
        <w:pStyle w:val="ListParagraph"/>
        <w:numPr>
          <w:ilvl w:val="0"/>
          <w:numId w:val="1"/>
        </w:numPr>
        <w:ind w:left="426" w:hanging="426"/>
        <w:rPr>
          <w:rFonts w:ascii="MiSans Normal" w:eastAsia="MiSans Normal" w:hAnsi="MiSans Normal"/>
          <w:sz w:val="21"/>
          <w:szCs w:val="21"/>
          <w:lang w:val="en-GB"/>
        </w:rPr>
      </w:pPr>
      <w:r w:rsidRPr="00D54D8D">
        <w:rPr>
          <w:rFonts w:ascii="MiSans Normal" w:eastAsia="MiSans Normal" w:hAnsi="MiSans Normal"/>
          <w:sz w:val="21"/>
          <w:szCs w:val="21"/>
          <w:lang w:val="en-GB"/>
        </w:rPr>
        <w:t>Amounts due from debtors were collected except the debt from Abdul Wahab which was considered irrecoverable.</w:t>
      </w:r>
    </w:p>
    <w:p w14:paraId="24214817" w14:textId="0D8B49C2" w:rsidR="00D54D8D" w:rsidRPr="00D54D8D" w:rsidRDefault="00D54D8D" w:rsidP="00D54D8D">
      <w:pPr>
        <w:pStyle w:val="ListParagraph"/>
        <w:numPr>
          <w:ilvl w:val="0"/>
          <w:numId w:val="1"/>
        </w:numPr>
        <w:ind w:left="426" w:hanging="426"/>
        <w:rPr>
          <w:rFonts w:ascii="MiSans Normal" w:eastAsia="MiSans Normal" w:hAnsi="MiSans Normal"/>
          <w:sz w:val="21"/>
          <w:szCs w:val="21"/>
          <w:lang w:val="en-GB"/>
        </w:rPr>
      </w:pPr>
      <w:r w:rsidRPr="00D54D8D">
        <w:rPr>
          <w:rFonts w:ascii="MiSans Normal" w:eastAsia="MiSans Normal" w:hAnsi="MiSans Normal"/>
          <w:sz w:val="21"/>
          <w:szCs w:val="21"/>
          <w:lang w:val="en-GB"/>
        </w:rPr>
        <w:t>Settled debts with creditors and received discounts RM500.</w:t>
      </w:r>
    </w:p>
    <w:p w14:paraId="19C0B11E" w14:textId="06D0772F" w:rsidR="00D54D8D" w:rsidRPr="00D54D8D" w:rsidRDefault="00D54D8D" w:rsidP="00D54D8D">
      <w:pPr>
        <w:pStyle w:val="ListParagraph"/>
        <w:numPr>
          <w:ilvl w:val="0"/>
          <w:numId w:val="1"/>
        </w:numPr>
        <w:ind w:left="426" w:hanging="426"/>
        <w:rPr>
          <w:rFonts w:ascii="MiSans Normal" w:eastAsia="MiSans Normal" w:hAnsi="MiSans Normal"/>
          <w:sz w:val="21"/>
          <w:szCs w:val="21"/>
          <w:lang w:val="en-GB"/>
        </w:rPr>
      </w:pPr>
      <w:r w:rsidRPr="00D54D8D">
        <w:rPr>
          <w:rFonts w:ascii="MiSans Normal" w:eastAsia="MiSans Normal" w:hAnsi="MiSans Normal"/>
          <w:sz w:val="21"/>
          <w:szCs w:val="21"/>
          <w:lang w:val="en-GB"/>
        </w:rPr>
        <w:t>Expenses of RM800 were incurred on dissolution.</w:t>
      </w:r>
    </w:p>
    <w:p w14:paraId="6755A70F" w14:textId="13C79E11" w:rsidR="00D54D8D" w:rsidRPr="00D54D8D" w:rsidRDefault="00D54D8D" w:rsidP="00D54D8D">
      <w:pPr>
        <w:pStyle w:val="ListParagraph"/>
        <w:numPr>
          <w:ilvl w:val="0"/>
          <w:numId w:val="1"/>
        </w:numPr>
        <w:ind w:left="426" w:hanging="426"/>
        <w:rPr>
          <w:rFonts w:ascii="MiSans Normal" w:eastAsia="MiSans Normal" w:hAnsi="MiSans Normal"/>
          <w:sz w:val="21"/>
          <w:szCs w:val="21"/>
          <w:lang w:val="en-GB"/>
        </w:rPr>
      </w:pPr>
      <w:r w:rsidRPr="00D54D8D">
        <w:rPr>
          <w:rFonts w:ascii="MiSans Normal" w:eastAsia="MiSans Normal" w:hAnsi="MiSans Normal"/>
          <w:sz w:val="21"/>
          <w:szCs w:val="21"/>
          <w:lang w:val="en-GB"/>
        </w:rPr>
        <w:t>Vimala was unable to meet her liability to the partnership, thus the Garner vs Murray rule was applied.</w:t>
      </w:r>
    </w:p>
    <w:p w14:paraId="7F5347D7" w14:textId="11F045A7" w:rsidR="00D54D8D" w:rsidRPr="00D54D8D" w:rsidRDefault="00D54D8D" w:rsidP="00D54D8D">
      <w:pPr>
        <w:pStyle w:val="ListParagraph"/>
        <w:numPr>
          <w:ilvl w:val="0"/>
          <w:numId w:val="1"/>
        </w:numPr>
        <w:ind w:left="426" w:hanging="426"/>
        <w:rPr>
          <w:rFonts w:ascii="MiSans Normal" w:eastAsia="MiSans Normal" w:hAnsi="MiSans Normal"/>
          <w:sz w:val="21"/>
          <w:szCs w:val="21"/>
          <w:lang w:val="en-GB"/>
        </w:rPr>
      </w:pPr>
      <w:r w:rsidRPr="00D54D8D">
        <w:rPr>
          <w:rFonts w:ascii="MiSans Normal" w:eastAsia="MiSans Normal" w:hAnsi="MiSans Normal"/>
          <w:sz w:val="21"/>
          <w:szCs w:val="21"/>
          <w:lang w:val="en-GB"/>
        </w:rPr>
        <w:t>Any amount of deficiency on partners’ capital accounts would be settled from the partners’ personal funds.</w:t>
      </w:r>
    </w:p>
    <w:p w14:paraId="00D86FB0" w14:textId="77777777" w:rsidR="00D54D8D" w:rsidRPr="00D54D8D" w:rsidRDefault="00D54D8D" w:rsidP="00D54D8D">
      <w:pPr>
        <w:rPr>
          <w:rFonts w:ascii="MiSans Normal" w:eastAsia="MiSans Normal" w:hAnsi="MiSans Normal"/>
          <w:sz w:val="21"/>
          <w:szCs w:val="21"/>
          <w:lang w:val="en-GB"/>
        </w:rPr>
      </w:pPr>
    </w:p>
    <w:p w14:paraId="2156FA4A" w14:textId="24919F37" w:rsidR="00D54D8D" w:rsidRPr="00D54D8D" w:rsidRDefault="00D54D8D" w:rsidP="00D54D8D">
      <w:pPr>
        <w:rPr>
          <w:rFonts w:ascii="MiSans Normal" w:eastAsia="MiSans Normal" w:hAnsi="MiSans Normal"/>
          <w:sz w:val="21"/>
          <w:szCs w:val="21"/>
          <w:lang w:val="en-GB"/>
        </w:rPr>
      </w:pPr>
      <w:r w:rsidRPr="00D54D8D">
        <w:rPr>
          <w:rFonts w:ascii="MiSans Normal" w:eastAsia="MiSans Normal" w:hAnsi="MiSans Normal"/>
          <w:sz w:val="21"/>
          <w:szCs w:val="21"/>
          <w:lang w:val="en-GB"/>
        </w:rPr>
        <w:t>You are required to prepare the following accounts to close the books of the partnership:</w:t>
      </w:r>
    </w:p>
    <w:p w14:paraId="67C877B5" w14:textId="5423CA6E" w:rsidR="00D54D8D" w:rsidRPr="00D54D8D" w:rsidRDefault="00D54D8D" w:rsidP="00D54D8D">
      <w:pPr>
        <w:pStyle w:val="ListParagraph"/>
        <w:numPr>
          <w:ilvl w:val="0"/>
          <w:numId w:val="2"/>
        </w:numPr>
        <w:rPr>
          <w:rFonts w:ascii="MiSans Normal" w:eastAsia="MiSans Normal" w:hAnsi="MiSans Normal"/>
          <w:sz w:val="21"/>
          <w:szCs w:val="21"/>
          <w:lang w:val="en-GB"/>
        </w:rPr>
      </w:pPr>
      <w:r w:rsidRPr="00D54D8D">
        <w:rPr>
          <w:rFonts w:ascii="MiSans Normal" w:eastAsia="MiSans Normal" w:hAnsi="MiSans Normal"/>
          <w:sz w:val="21"/>
          <w:szCs w:val="21"/>
          <w:lang w:val="en-GB"/>
        </w:rPr>
        <w:t>Realisation account;</w:t>
      </w:r>
    </w:p>
    <w:p w14:paraId="049E2344" w14:textId="23E2A058" w:rsidR="00D54D8D" w:rsidRPr="00D54D8D" w:rsidRDefault="00D54D8D" w:rsidP="00D54D8D">
      <w:pPr>
        <w:pStyle w:val="ListParagraph"/>
        <w:numPr>
          <w:ilvl w:val="0"/>
          <w:numId w:val="2"/>
        </w:numPr>
        <w:rPr>
          <w:rFonts w:ascii="MiSans Normal" w:eastAsia="MiSans Normal" w:hAnsi="MiSans Normal"/>
          <w:sz w:val="21"/>
          <w:szCs w:val="21"/>
          <w:lang w:val="en-GB"/>
        </w:rPr>
      </w:pPr>
      <w:r w:rsidRPr="00D54D8D">
        <w:rPr>
          <w:rFonts w:ascii="MiSans Normal" w:eastAsia="MiSans Normal" w:hAnsi="MiSans Normal"/>
          <w:sz w:val="21"/>
          <w:szCs w:val="21"/>
          <w:lang w:val="en-GB"/>
        </w:rPr>
        <w:t>Partners’ Capital account;</w:t>
      </w:r>
    </w:p>
    <w:p w14:paraId="2C20F1BB" w14:textId="4D1EECDE" w:rsidR="00D54D8D" w:rsidRPr="00D54D8D" w:rsidRDefault="00D54D8D" w:rsidP="00D54D8D">
      <w:pPr>
        <w:pStyle w:val="ListParagraph"/>
        <w:numPr>
          <w:ilvl w:val="0"/>
          <w:numId w:val="2"/>
        </w:numPr>
        <w:rPr>
          <w:rFonts w:ascii="MiSans Normal" w:eastAsia="MiSans Normal" w:hAnsi="MiSans Normal"/>
          <w:sz w:val="21"/>
          <w:szCs w:val="21"/>
          <w:lang w:val="en-GB"/>
        </w:rPr>
      </w:pPr>
      <w:r w:rsidRPr="00D54D8D">
        <w:rPr>
          <w:rFonts w:ascii="MiSans Normal" w:eastAsia="MiSans Normal" w:hAnsi="MiSans Normal"/>
          <w:sz w:val="21"/>
          <w:szCs w:val="21"/>
          <w:lang w:val="en-GB"/>
        </w:rPr>
        <w:t>Partnership Bank account;</w:t>
      </w:r>
    </w:p>
    <w:p w14:paraId="08D9CF80" w14:textId="77777777" w:rsidR="00D54D8D" w:rsidRPr="00D54D8D" w:rsidRDefault="00D54D8D" w:rsidP="00D54D8D">
      <w:pPr>
        <w:rPr>
          <w:rFonts w:ascii="MiSans Normal" w:eastAsia="MiSans Normal" w:hAnsi="MiSans Normal"/>
          <w:sz w:val="21"/>
          <w:szCs w:val="21"/>
          <w:lang w:val="en-GB"/>
        </w:rPr>
      </w:pPr>
    </w:p>
    <w:sectPr w:rsidR="00D54D8D" w:rsidRPr="00D54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12EA6"/>
    <w:multiLevelType w:val="hybridMultilevel"/>
    <w:tmpl w:val="35C89D2E"/>
    <w:lvl w:ilvl="0" w:tplc="ECA636F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8AC3BF1"/>
    <w:multiLevelType w:val="hybridMultilevel"/>
    <w:tmpl w:val="21C6F176"/>
    <w:lvl w:ilvl="0" w:tplc="B0ECC4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9340010">
    <w:abstractNumId w:val="0"/>
  </w:num>
  <w:num w:numId="2" w16cid:durableId="1183086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18"/>
    <w:rsid w:val="00140178"/>
    <w:rsid w:val="002B1518"/>
    <w:rsid w:val="003E6E8B"/>
    <w:rsid w:val="008C02CC"/>
    <w:rsid w:val="00963A8A"/>
    <w:rsid w:val="00A921C9"/>
    <w:rsid w:val="00AD0407"/>
    <w:rsid w:val="00D54D8D"/>
    <w:rsid w:val="00EB491B"/>
    <w:rsid w:val="00F12CE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67332A"/>
  <w15:chartTrackingRefBased/>
  <w15:docId w15:val="{F1F13F2E-1174-644A-8362-A2E81EEF4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1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5</cp:revision>
  <dcterms:created xsi:type="dcterms:W3CDTF">2023-06-05T08:11:00Z</dcterms:created>
  <dcterms:modified xsi:type="dcterms:W3CDTF">2023-06-05T08:28:00Z</dcterms:modified>
</cp:coreProperties>
</file>