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2A19" w14:textId="036E2745" w:rsidR="004F7E52" w:rsidRPr="004F7E52" w:rsidRDefault="004F7E52" w:rsidP="004F7E52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4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4</w:t>
      </w:r>
    </w:p>
    <w:p w14:paraId="4BE06BE0" w14:textId="687F74CF" w:rsidR="008C02CC" w:rsidRPr="004F7E52" w:rsidRDefault="004F7E52" w:rsidP="004F7E52">
      <w:pPr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 xml:space="preserve">On 1 July 2014, NEC Enterprise of Kuala Lumpur consigned 60 cases of toys costing RM 250 per case to its agent </w:t>
      </w:r>
      <w:r w:rsidR="004723F8">
        <w:rPr>
          <w:rFonts w:ascii="MiSans Normal" w:eastAsia="MiSans Normal" w:hAnsi="MiSans Normal"/>
          <w:sz w:val="20"/>
          <w:szCs w:val="20"/>
          <w:lang w:val="en-US"/>
        </w:rPr>
        <w:t>J</w:t>
      </w:r>
      <w:r w:rsidRPr="004F7E52">
        <w:rPr>
          <w:rFonts w:ascii="MiSans Normal" w:eastAsia="MiSans Normal" w:hAnsi="MiSans Normal"/>
          <w:sz w:val="20"/>
          <w:szCs w:val="20"/>
          <w:lang w:val="en-US"/>
        </w:rPr>
        <w:t>ia Li in Penang. The enterprise paid freight charges RM 1,200 and sundry expenses RM 200 on the same date.</w:t>
      </w:r>
    </w:p>
    <w:p w14:paraId="5D8C4BC6" w14:textId="77777777" w:rsidR="004F7E52" w:rsidRPr="004F7E52" w:rsidRDefault="004F7E52" w:rsidP="004F7E52">
      <w:pPr>
        <w:jc w:val="both"/>
        <w:rPr>
          <w:rFonts w:ascii="MiSans Normal" w:eastAsia="MiSans Normal" w:hAnsi="MiSans Normal"/>
          <w:sz w:val="10"/>
          <w:szCs w:val="10"/>
          <w:lang w:val="en-US"/>
        </w:rPr>
      </w:pPr>
    </w:p>
    <w:p w14:paraId="485BA326" w14:textId="2AA4A8A7" w:rsidR="004F7E52" w:rsidRPr="004F7E52" w:rsidRDefault="004F7E52" w:rsidP="004F7E52">
      <w:pPr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>On 6 July 2014, NEC Enterprise drew a two-month bill of exchange of RM 6,000 on Jia Li and was duly accepted on that day. The bill was discounted at its bank for RM 5,820 n the same date. The discounting expenses were to be charged against the consignment.</w:t>
      </w:r>
    </w:p>
    <w:p w14:paraId="7AAEF22E" w14:textId="77777777" w:rsidR="004F7E52" w:rsidRPr="004F7E52" w:rsidRDefault="004F7E52" w:rsidP="004F7E52">
      <w:pPr>
        <w:jc w:val="both"/>
        <w:rPr>
          <w:rFonts w:ascii="MiSans Normal" w:eastAsia="MiSans Normal" w:hAnsi="MiSans Normal"/>
          <w:sz w:val="10"/>
          <w:szCs w:val="10"/>
          <w:lang w:val="en-US"/>
        </w:rPr>
      </w:pPr>
    </w:p>
    <w:p w14:paraId="6DBDEA65" w14:textId="14B99261" w:rsidR="004F7E52" w:rsidRPr="004F7E52" w:rsidRDefault="004F7E52" w:rsidP="004F7E52">
      <w:pPr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>The agreement stated that the consignee was to receive 6% sales commission plus an additional 2% del credere commission.</w:t>
      </w:r>
    </w:p>
    <w:p w14:paraId="34B1BDCC" w14:textId="77777777" w:rsidR="004F7E52" w:rsidRPr="004F7E52" w:rsidRDefault="004F7E52" w:rsidP="004F7E52">
      <w:pPr>
        <w:jc w:val="both"/>
        <w:rPr>
          <w:rFonts w:ascii="MiSans Normal" w:eastAsia="MiSans Normal" w:hAnsi="MiSans Normal"/>
          <w:sz w:val="10"/>
          <w:szCs w:val="10"/>
          <w:lang w:val="en-US"/>
        </w:rPr>
      </w:pPr>
    </w:p>
    <w:p w14:paraId="074E5BAF" w14:textId="7E32F2EA" w:rsidR="004F7E52" w:rsidRPr="004F7E52" w:rsidRDefault="004F7E52" w:rsidP="004F7E52">
      <w:pPr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>Further information regarding the consignment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67"/>
        <w:gridCol w:w="7745"/>
      </w:tblGrid>
      <w:tr w:rsidR="004F7E52" w:rsidRPr="004F7E52" w14:paraId="59FB922C" w14:textId="77777777" w:rsidTr="004F7E52">
        <w:tc>
          <w:tcPr>
            <w:tcW w:w="1271" w:type="dxa"/>
            <w:gridSpan w:val="2"/>
          </w:tcPr>
          <w:p w14:paraId="64A72879" w14:textId="2247536D" w:rsidR="004F7E52" w:rsidRPr="004F7E52" w:rsidRDefault="004F7E52" w:rsidP="004F7E5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2014</w:t>
            </w:r>
          </w:p>
        </w:tc>
        <w:tc>
          <w:tcPr>
            <w:tcW w:w="7745" w:type="dxa"/>
          </w:tcPr>
          <w:p w14:paraId="7BC89B52" w14:textId="77777777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F7E52" w:rsidRPr="004F7E52" w14:paraId="64DDD97C" w14:textId="77777777" w:rsidTr="004F7E52">
        <w:tc>
          <w:tcPr>
            <w:tcW w:w="704" w:type="dxa"/>
          </w:tcPr>
          <w:p w14:paraId="232385B7" w14:textId="74154DBE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July</w:t>
            </w:r>
          </w:p>
        </w:tc>
        <w:tc>
          <w:tcPr>
            <w:tcW w:w="567" w:type="dxa"/>
          </w:tcPr>
          <w:p w14:paraId="24CD8E41" w14:textId="719DD907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745" w:type="dxa"/>
          </w:tcPr>
          <w:p w14:paraId="7CD7261B" w14:textId="118DFEC6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Jia Li received all the goods and paid landing charges RM 760 and warehouse rent RM 540.</w:t>
            </w:r>
          </w:p>
        </w:tc>
      </w:tr>
      <w:tr w:rsidR="004F7E52" w:rsidRPr="004F7E52" w14:paraId="17A49C91" w14:textId="77777777" w:rsidTr="004F7E52">
        <w:tc>
          <w:tcPr>
            <w:tcW w:w="704" w:type="dxa"/>
          </w:tcPr>
          <w:p w14:paraId="2DED57AB" w14:textId="77777777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5490B00" w14:textId="258FE36B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</w:t>
            </w:r>
          </w:p>
        </w:tc>
        <w:tc>
          <w:tcPr>
            <w:tcW w:w="7745" w:type="dxa"/>
          </w:tcPr>
          <w:p w14:paraId="5E37A43D" w14:textId="1DF66588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Jia Li sold on credit 40 cases at R</w:t>
            </w:r>
            <w:r w:rsidR="00D025B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</w:t>
            </w: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400 per case and paid selling expenses RM 260.</w:t>
            </w:r>
          </w:p>
        </w:tc>
      </w:tr>
      <w:tr w:rsidR="004F7E52" w:rsidRPr="004F7E52" w14:paraId="0B041FBB" w14:textId="77777777" w:rsidTr="004F7E52">
        <w:tc>
          <w:tcPr>
            <w:tcW w:w="704" w:type="dxa"/>
          </w:tcPr>
          <w:p w14:paraId="21172970" w14:textId="2E3D28CF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Aug</w:t>
            </w:r>
          </w:p>
        </w:tc>
        <w:tc>
          <w:tcPr>
            <w:tcW w:w="567" w:type="dxa"/>
          </w:tcPr>
          <w:p w14:paraId="109D8176" w14:textId="7B5360BE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</w:t>
            </w:r>
          </w:p>
        </w:tc>
        <w:tc>
          <w:tcPr>
            <w:tcW w:w="7745" w:type="dxa"/>
          </w:tcPr>
          <w:p w14:paraId="057C4232" w14:textId="321AF451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Jia Li sold the remaining cases on credit at RM 380 per case and paid selling expenses RM 150.</w:t>
            </w:r>
          </w:p>
        </w:tc>
      </w:tr>
      <w:tr w:rsidR="004F7E52" w:rsidRPr="004F7E52" w14:paraId="54E527EB" w14:textId="77777777" w:rsidTr="004F7E52">
        <w:tc>
          <w:tcPr>
            <w:tcW w:w="704" w:type="dxa"/>
          </w:tcPr>
          <w:p w14:paraId="3841F8D0" w14:textId="77777777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5F32006" w14:textId="20BE16E9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</w:t>
            </w:r>
          </w:p>
        </w:tc>
        <w:tc>
          <w:tcPr>
            <w:tcW w:w="7745" w:type="dxa"/>
          </w:tcPr>
          <w:p w14:paraId="6B206590" w14:textId="4242A449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 debt of RM 600 due from a consignment account receivable was written off as bad debt.</w:t>
            </w:r>
          </w:p>
        </w:tc>
      </w:tr>
      <w:tr w:rsidR="004F7E52" w:rsidRPr="004F7E52" w14:paraId="46CDDCB6" w14:textId="77777777" w:rsidTr="004F7E52">
        <w:tc>
          <w:tcPr>
            <w:tcW w:w="704" w:type="dxa"/>
          </w:tcPr>
          <w:p w14:paraId="76393DB5" w14:textId="77777777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D0132B5" w14:textId="0759C8DF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</w:t>
            </w:r>
          </w:p>
        </w:tc>
        <w:tc>
          <w:tcPr>
            <w:tcW w:w="7745" w:type="dxa"/>
          </w:tcPr>
          <w:p w14:paraId="0202F717" w14:textId="5A040F28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Jia Li received RM 12,500 from the consignment account receivables, and the amount was put into the bank.</w:t>
            </w:r>
          </w:p>
        </w:tc>
      </w:tr>
      <w:tr w:rsidR="004F7E52" w:rsidRPr="004F7E52" w14:paraId="12E146BC" w14:textId="77777777" w:rsidTr="004F7E52">
        <w:tc>
          <w:tcPr>
            <w:tcW w:w="704" w:type="dxa"/>
          </w:tcPr>
          <w:p w14:paraId="6299042A" w14:textId="77777777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341AC21" w14:textId="18132B40" w:rsidR="004F7E52" w:rsidRPr="004F7E52" w:rsidRDefault="004F7E52" w:rsidP="004F7E5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31</w:t>
            </w:r>
          </w:p>
        </w:tc>
        <w:tc>
          <w:tcPr>
            <w:tcW w:w="7745" w:type="dxa"/>
          </w:tcPr>
          <w:p w14:paraId="297544E8" w14:textId="1B3C8C66" w:rsidR="004F7E52" w:rsidRPr="004F7E52" w:rsidRDefault="004F7E52" w:rsidP="004F7E52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F7E5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At the end of the financial year ended 31 August 2014, NEC Enterprise received an Account Sales together with a cheque from the balance due.</w:t>
            </w:r>
          </w:p>
        </w:tc>
      </w:tr>
    </w:tbl>
    <w:p w14:paraId="13D990BB" w14:textId="77777777" w:rsidR="004F7E52" w:rsidRPr="004F7E52" w:rsidRDefault="004F7E52" w:rsidP="004F7E52">
      <w:pPr>
        <w:jc w:val="both"/>
        <w:rPr>
          <w:rFonts w:ascii="MiSans Normal" w:eastAsia="MiSans Normal" w:hAnsi="MiSans Normal"/>
          <w:sz w:val="20"/>
          <w:szCs w:val="20"/>
          <w:lang w:val="en-US"/>
        </w:rPr>
      </w:pPr>
    </w:p>
    <w:p w14:paraId="4292AA40" w14:textId="5A30BFD7" w:rsidR="004F7E52" w:rsidRPr="004F7E52" w:rsidRDefault="004F7E52" w:rsidP="004F7E52">
      <w:pPr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 xml:space="preserve">In the books of consignor, </w:t>
      </w:r>
      <w:r w:rsidRPr="004F7E5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you are required to </w:t>
      </w:r>
      <w:r w:rsidRPr="004F7E52">
        <w:rPr>
          <w:rFonts w:ascii="MiSans Normal" w:eastAsia="MiSans Normal" w:hAnsi="MiSans Normal"/>
          <w:sz w:val="20"/>
          <w:szCs w:val="20"/>
          <w:lang w:val="en-US"/>
        </w:rPr>
        <w:t>prepare the following accounts:</w:t>
      </w:r>
    </w:p>
    <w:p w14:paraId="3CF79525" w14:textId="2A9294B1" w:rsidR="004F7E52" w:rsidRPr="004F7E52" w:rsidRDefault="004F7E52" w:rsidP="0038659D">
      <w:pPr>
        <w:pStyle w:val="ListParagraph"/>
        <w:numPr>
          <w:ilvl w:val="0"/>
          <w:numId w:val="1"/>
        </w:numPr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>Consignment Account;</w:t>
      </w:r>
    </w:p>
    <w:p w14:paraId="5AA6CA65" w14:textId="12BE0E25" w:rsidR="004F7E52" w:rsidRPr="004F7E52" w:rsidRDefault="004F7E52" w:rsidP="0038659D">
      <w:pPr>
        <w:pStyle w:val="ListParagraph"/>
        <w:numPr>
          <w:ilvl w:val="0"/>
          <w:numId w:val="1"/>
        </w:numPr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 xml:space="preserve">Consignee Account – </w:t>
      </w:r>
      <w:r w:rsidR="003A07B6">
        <w:rPr>
          <w:rFonts w:ascii="MiSans Normal" w:eastAsia="MiSans Normal" w:hAnsi="MiSans Normal"/>
          <w:sz w:val="20"/>
          <w:szCs w:val="20"/>
          <w:lang w:val="en-US"/>
        </w:rPr>
        <w:t>J</w:t>
      </w:r>
      <w:r w:rsidRPr="004F7E52">
        <w:rPr>
          <w:rFonts w:ascii="MiSans Normal" w:eastAsia="MiSans Normal" w:hAnsi="MiSans Normal"/>
          <w:sz w:val="20"/>
          <w:szCs w:val="20"/>
          <w:lang w:val="en-US"/>
        </w:rPr>
        <w:t>ia Li;</w:t>
      </w:r>
    </w:p>
    <w:p w14:paraId="438FCE28" w14:textId="5CD87A57" w:rsidR="004F7E52" w:rsidRPr="004F7E52" w:rsidRDefault="004F7E52" w:rsidP="0038659D">
      <w:pPr>
        <w:pStyle w:val="ListParagraph"/>
        <w:numPr>
          <w:ilvl w:val="0"/>
          <w:numId w:val="1"/>
        </w:numPr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4F7E52">
        <w:rPr>
          <w:rFonts w:ascii="MiSans Normal" w:eastAsia="MiSans Normal" w:hAnsi="MiSans Normal"/>
          <w:sz w:val="20"/>
          <w:szCs w:val="20"/>
          <w:lang w:val="en-US"/>
        </w:rPr>
        <w:t>Bill Receivable Account.</w:t>
      </w:r>
    </w:p>
    <w:sectPr w:rsidR="004F7E52" w:rsidRPr="004F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6BC0"/>
    <w:multiLevelType w:val="hybridMultilevel"/>
    <w:tmpl w:val="283843D8"/>
    <w:lvl w:ilvl="0" w:tplc="5F0CDB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332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52"/>
    <w:rsid w:val="00140178"/>
    <w:rsid w:val="0038659D"/>
    <w:rsid w:val="003A07B6"/>
    <w:rsid w:val="004723F8"/>
    <w:rsid w:val="004F7E52"/>
    <w:rsid w:val="008C02CC"/>
    <w:rsid w:val="00A921C9"/>
    <w:rsid w:val="00D025B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C2A9C"/>
  <w15:chartTrackingRefBased/>
  <w15:docId w15:val="{625341AC-715E-AF49-A359-2D1748B2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E52"/>
    <w:pPr>
      <w:ind w:left="720"/>
      <w:contextualSpacing/>
    </w:pPr>
  </w:style>
  <w:style w:type="character" w:customStyle="1" w:styleId="s2">
    <w:name w:val="s2"/>
    <w:basedOn w:val="DefaultParagraphFont"/>
    <w:rsid w:val="004F7E52"/>
  </w:style>
  <w:style w:type="character" w:customStyle="1" w:styleId="apple-converted-space">
    <w:name w:val="apple-converted-space"/>
    <w:basedOn w:val="DefaultParagraphFont"/>
    <w:rsid w:val="004F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2023-10-05T21:09:00Z</dcterms:created>
  <dcterms:modified xsi:type="dcterms:W3CDTF">2023-10-05T21:19:00Z</dcterms:modified>
</cp:coreProperties>
</file>