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6B3" w14:textId="47F68848" w:rsidR="002A1494" w:rsidRPr="002A1494" w:rsidRDefault="002A1494" w:rsidP="002A1494">
      <w:pPr>
        <w:spacing w:after="240" w:line="276" w:lineRule="auto"/>
        <w:rPr>
          <w:rFonts w:ascii="Times New Roman" w:hAnsi="Times New Roman" w:cs="Times New Roman"/>
          <w:b/>
          <w:bCs/>
          <w:lang w:val="en-US"/>
        </w:rPr>
      </w:pPr>
      <w:r w:rsidRPr="002A1494">
        <w:rPr>
          <w:rFonts w:ascii="Times New Roman" w:hAnsi="Times New Roman" w:cs="Times New Roman"/>
          <w:b/>
          <w:bCs/>
          <w:lang w:val="en-US"/>
        </w:rPr>
        <w:t>Handout - KSL Bhd</w:t>
      </w:r>
    </w:p>
    <w:p w14:paraId="628100C3" w14:textId="66665692" w:rsidR="002A1494" w:rsidRDefault="002A1494" w:rsidP="00961AEC">
      <w:pPr>
        <w:spacing w:after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KSL Bhd has an authorized share capital of 300,000 ordinary shares of RM2 each, of which 100,000 shares had been issued at RM2.50 and fully paid on 31 December 2010.</w:t>
      </w:r>
    </w:p>
    <w:p w14:paraId="3D2876EF" w14:textId="19A047B2" w:rsidR="002A1494" w:rsidRDefault="002A1494" w:rsidP="00961AEC">
      <w:pPr>
        <w:spacing w:after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15 April 2011, KSL Bhd decided to issue remaining ordinary shares, at a premium of RM2 each.</w:t>
      </w:r>
    </w:p>
    <w:p w14:paraId="3DA92CD4" w14:textId="4EAEB3AC" w:rsidR="002A1494" w:rsidRDefault="002A1494" w:rsidP="002A1494">
      <w:pPr>
        <w:spacing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Payments were made as follows:</w:t>
      </w:r>
    </w:p>
    <w:p w14:paraId="1F69AB82" w14:textId="6ED509C7" w:rsidR="002A1494" w:rsidRDefault="002A1494" w:rsidP="002A1494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April </w:t>
      </w:r>
      <w:r>
        <w:rPr>
          <w:rFonts w:ascii="Times New Roman" w:hAnsi="Times New Roman" w:cs="Times New Roman"/>
          <w:lang w:val="en-US"/>
        </w:rPr>
        <w:tab/>
        <w:t>15</w:t>
      </w:r>
      <w:r>
        <w:rPr>
          <w:rFonts w:ascii="Times New Roman" w:hAnsi="Times New Roman" w:cs="Times New Roman"/>
          <w:lang w:val="en-US"/>
        </w:rPr>
        <w:tab/>
        <w:t>RM0.40 per share on application</w:t>
      </w:r>
    </w:p>
    <w:p w14:paraId="5747C5F4" w14:textId="5FD023B4" w:rsidR="002A1494" w:rsidRDefault="002A1494" w:rsidP="002A1494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30</w:t>
      </w:r>
      <w:r>
        <w:rPr>
          <w:rFonts w:ascii="Times New Roman" w:hAnsi="Times New Roman" w:cs="Times New Roman"/>
          <w:lang w:val="en-US"/>
        </w:rPr>
        <w:tab/>
        <w:t>RM2.50 per share on allotment (including the premium)</w:t>
      </w:r>
    </w:p>
    <w:p w14:paraId="6474FBD8" w14:textId="65CEBFC0" w:rsidR="002A1494" w:rsidRDefault="002A1494" w:rsidP="002A1494">
      <w:pPr>
        <w:spacing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May </w:t>
      </w:r>
      <w:r>
        <w:rPr>
          <w:rFonts w:ascii="Times New Roman" w:hAnsi="Times New Roman" w:cs="Times New Roman"/>
          <w:lang w:val="en-US"/>
        </w:rPr>
        <w:tab/>
        <w:t>20</w:t>
      </w:r>
      <w:r>
        <w:rPr>
          <w:rFonts w:ascii="Times New Roman" w:hAnsi="Times New Roman" w:cs="Times New Roman"/>
          <w:lang w:val="en-US"/>
        </w:rPr>
        <w:tab/>
        <w:t>Balance on the first and final call</w:t>
      </w:r>
    </w:p>
    <w:p w14:paraId="33AE3667" w14:textId="51E145D9" w:rsidR="002A1494" w:rsidRDefault="002A1494" w:rsidP="00961AEC">
      <w:pPr>
        <w:spacing w:after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Application had been received for 280,000 shares and it was decided to deal with these as follows:</w:t>
      </w:r>
    </w:p>
    <w:p w14:paraId="4E87E713" w14:textId="1DE87912" w:rsidR="002A1494" w:rsidRDefault="002A1494" w:rsidP="00961A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refuse allotment and refund to applicants for 50,000 shares.</w:t>
      </w:r>
    </w:p>
    <w:p w14:paraId="1F855905" w14:textId="76BBF3EF" w:rsidR="002A1494" w:rsidRDefault="002A1494" w:rsidP="00961A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Applications for 50,000 shares received an allotment in full.</w:t>
      </w:r>
    </w:p>
    <w:p w14:paraId="032D68AB" w14:textId="0CF2901E" w:rsidR="002A1494" w:rsidRDefault="002A1494" w:rsidP="00961AEC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allot the remainder of the available shares pro rate among the other applicants.</w:t>
      </w:r>
    </w:p>
    <w:p w14:paraId="52A5A9C0" w14:textId="5C56BDDA" w:rsidR="002A1494" w:rsidRDefault="002A1494" w:rsidP="00961AEC">
      <w:pPr>
        <w:spacing w:after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monies were refunded to these applicants; the excess application monies were used to pay the allotment due.</w:t>
      </w:r>
    </w:p>
    <w:p w14:paraId="48F8E0F1" w14:textId="6AB08804" w:rsidR="002A1494" w:rsidRDefault="002A1494" w:rsidP="00961AEC">
      <w:pPr>
        <w:spacing w:after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Monies on the first and final call were received on the due date.</w:t>
      </w:r>
    </w:p>
    <w:p w14:paraId="04CF5BB5" w14:textId="77777777" w:rsidR="002A1494" w:rsidRDefault="002A1494" w:rsidP="00961A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43E2843" w14:textId="50678962" w:rsidR="002A1494" w:rsidRPr="00C228D0" w:rsidRDefault="002A1494" w:rsidP="00961AEC">
      <w:pPr>
        <w:spacing w:after="24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228D0">
        <w:rPr>
          <w:rFonts w:ascii="Times New Roman" w:hAnsi="Times New Roman" w:cs="Times New Roman"/>
          <w:b/>
          <w:bCs/>
          <w:lang w:val="en-US"/>
        </w:rPr>
        <w:t>You are required to:</w:t>
      </w:r>
    </w:p>
    <w:p w14:paraId="5681AD14" w14:textId="2C66293F" w:rsidR="002A1494" w:rsidRDefault="002A1494" w:rsidP="00961A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the Journal entries (including cash items) to record the above transactions;</w:t>
      </w:r>
    </w:p>
    <w:p w14:paraId="1EAC81CB" w14:textId="0F4A28BC" w:rsidR="002A1494" w:rsidRPr="002A1494" w:rsidRDefault="002A1494" w:rsidP="00961AEC">
      <w:pPr>
        <w:spacing w:after="240" w:line="276" w:lineRule="auto"/>
        <w:ind w:firstLine="360"/>
        <w:jc w:val="both"/>
        <w:rPr>
          <w:rFonts w:ascii="Times New Roman" w:hAnsi="Times New Roman" w:cs="Times New Roman"/>
          <w:i/>
          <w:iCs/>
          <w:lang w:val="en-US"/>
        </w:rPr>
      </w:pPr>
      <w:r w:rsidRPr="002A1494">
        <w:rPr>
          <w:rFonts w:ascii="Times New Roman" w:hAnsi="Times New Roman" w:cs="Times New Roman"/>
          <w:i/>
          <w:iCs/>
          <w:lang w:val="en-US"/>
        </w:rPr>
        <w:t xml:space="preserve">(Narrations are </w:t>
      </w:r>
      <w:r w:rsidRPr="002A1494">
        <w:rPr>
          <w:rFonts w:ascii="Times New Roman" w:hAnsi="Times New Roman" w:cs="Times New Roman"/>
          <w:b/>
          <w:bCs/>
          <w:i/>
          <w:iCs/>
          <w:lang w:val="en-US"/>
        </w:rPr>
        <w:t>NOT</w:t>
      </w:r>
      <w:r w:rsidRPr="002A1494">
        <w:rPr>
          <w:rFonts w:ascii="Times New Roman" w:hAnsi="Times New Roman" w:cs="Times New Roman"/>
          <w:i/>
          <w:iCs/>
          <w:lang w:val="en-US"/>
        </w:rPr>
        <w:t xml:space="preserve"> required)</w:t>
      </w:r>
    </w:p>
    <w:p w14:paraId="23A53FAE" w14:textId="367E8E03" w:rsidR="002A1494" w:rsidRDefault="002A1494" w:rsidP="00961A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the following accounts in the books of KSL Bhd:</w:t>
      </w:r>
    </w:p>
    <w:p w14:paraId="533C19A7" w14:textId="77777777" w:rsidR="00961AEC" w:rsidRDefault="00961AEC" w:rsidP="00961AEC">
      <w:pPr>
        <w:pStyle w:val="ListParagraph"/>
        <w:numPr>
          <w:ilvl w:val="1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  <w:sectPr w:rsidR="00961AEC" w:rsidSect="00961AEC">
          <w:pgSz w:w="11906" w:h="16838"/>
          <w:pgMar w:top="1247" w:right="1440" w:bottom="1247" w:left="1440" w:header="709" w:footer="709" w:gutter="0"/>
          <w:cols w:space="708"/>
          <w:docGrid w:linePitch="360"/>
        </w:sectPr>
      </w:pPr>
    </w:p>
    <w:p w14:paraId="692A5FBE" w14:textId="059F4607" w:rsidR="002A1494" w:rsidRDefault="002A1494" w:rsidP="00961AEC">
      <w:pPr>
        <w:pStyle w:val="ListParagraph"/>
        <w:numPr>
          <w:ilvl w:val="1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Application and Allotment;</w:t>
      </w:r>
    </w:p>
    <w:p w14:paraId="1A078D6C" w14:textId="3A8D2DF8" w:rsidR="002A1494" w:rsidRDefault="002A1494" w:rsidP="00961AEC">
      <w:pPr>
        <w:pStyle w:val="ListParagraph"/>
        <w:numPr>
          <w:ilvl w:val="1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and Final Call;</w:t>
      </w:r>
    </w:p>
    <w:p w14:paraId="2E779327" w14:textId="301ADC43" w:rsidR="002A1494" w:rsidRDefault="002A1494" w:rsidP="00961AEC">
      <w:pPr>
        <w:pStyle w:val="ListParagraph"/>
        <w:numPr>
          <w:ilvl w:val="1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Bank;</w:t>
      </w:r>
    </w:p>
    <w:p w14:paraId="13919F7A" w14:textId="0988D35F" w:rsidR="002A1494" w:rsidRDefault="002A1494" w:rsidP="00961AEC">
      <w:pPr>
        <w:pStyle w:val="ListParagraph"/>
        <w:numPr>
          <w:ilvl w:val="1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Ordinary Share Capital;</w:t>
      </w:r>
    </w:p>
    <w:p w14:paraId="5EBBCFD3" w14:textId="6A149A3D" w:rsidR="002A1494" w:rsidRDefault="002A1494" w:rsidP="00961AEC">
      <w:pPr>
        <w:pStyle w:val="ListParagraph"/>
        <w:numPr>
          <w:ilvl w:val="1"/>
          <w:numId w:val="2"/>
        </w:numPr>
        <w:spacing w:line="276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Share Premium.</w:t>
      </w:r>
    </w:p>
    <w:p w14:paraId="43B0FDF9" w14:textId="77777777" w:rsidR="00961AEC" w:rsidRDefault="00961AEC" w:rsidP="00961AEC">
      <w:pPr>
        <w:spacing w:line="276" w:lineRule="auto"/>
        <w:jc w:val="both"/>
        <w:rPr>
          <w:rFonts w:ascii="Times New Roman" w:hAnsi="Times New Roman" w:cs="Times New Roman"/>
          <w:lang w:val="en-US"/>
        </w:rPr>
        <w:sectPr w:rsidR="00961AEC" w:rsidSect="00961AEC">
          <w:type w:val="continuous"/>
          <w:pgSz w:w="11906" w:h="16838"/>
          <w:pgMar w:top="1247" w:right="1440" w:bottom="1247" w:left="1440" w:header="709" w:footer="709" w:gutter="0"/>
          <w:cols w:num="2" w:space="708"/>
          <w:docGrid w:linePitch="360"/>
        </w:sectPr>
      </w:pPr>
    </w:p>
    <w:p w14:paraId="1F2C4FAE" w14:textId="77777777" w:rsidR="00961AEC" w:rsidRDefault="00961AEC" w:rsidP="00961A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61AEC" w14:paraId="55B92151" w14:textId="77777777" w:rsidTr="00961AEC">
        <w:tc>
          <w:tcPr>
            <w:tcW w:w="1502" w:type="dxa"/>
            <w:vAlign w:val="center"/>
          </w:tcPr>
          <w:p w14:paraId="3E7B0B24" w14:textId="3A1B0414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Shares applied</w:t>
            </w:r>
          </w:p>
        </w:tc>
        <w:tc>
          <w:tcPr>
            <w:tcW w:w="1502" w:type="dxa"/>
            <w:vAlign w:val="center"/>
          </w:tcPr>
          <w:p w14:paraId="11673FB8" w14:textId="54A60B44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Shares  allotted</w:t>
            </w:r>
          </w:p>
        </w:tc>
        <w:tc>
          <w:tcPr>
            <w:tcW w:w="1503" w:type="dxa"/>
            <w:vAlign w:val="center"/>
          </w:tcPr>
          <w:p w14:paraId="41042EF0" w14:textId="6B4F10C2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Application monies received (1)</w:t>
            </w:r>
          </w:p>
        </w:tc>
        <w:tc>
          <w:tcPr>
            <w:tcW w:w="1503" w:type="dxa"/>
            <w:vAlign w:val="center"/>
          </w:tcPr>
          <w:p w14:paraId="588996C3" w14:textId="7524915F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Application &amp; allotment monies required</w:t>
            </w:r>
          </w:p>
        </w:tc>
        <w:tc>
          <w:tcPr>
            <w:tcW w:w="1503" w:type="dxa"/>
            <w:vAlign w:val="center"/>
          </w:tcPr>
          <w:p w14:paraId="4DE611C0" w14:textId="77777777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Allotment monies receivable</w:t>
            </w:r>
          </w:p>
          <w:p w14:paraId="31698E0F" w14:textId="2D082570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(2) &gt; (1)</w:t>
            </w:r>
          </w:p>
        </w:tc>
        <w:tc>
          <w:tcPr>
            <w:tcW w:w="1503" w:type="dxa"/>
            <w:vAlign w:val="center"/>
          </w:tcPr>
          <w:p w14:paraId="6FC4DDEE" w14:textId="77777777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Allotment monies </w:t>
            </w:r>
            <w:proofErr w:type="gramStart"/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refunded</w:t>
            </w:r>
            <w:proofErr w:type="gramEnd"/>
          </w:p>
          <w:p w14:paraId="397B9969" w14:textId="62DEE7F3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(1) &gt; (2)</w:t>
            </w:r>
          </w:p>
        </w:tc>
      </w:tr>
      <w:tr w:rsidR="00961AEC" w14:paraId="0D7E5500" w14:textId="77777777" w:rsidTr="00961AEC">
        <w:tc>
          <w:tcPr>
            <w:tcW w:w="1502" w:type="dxa"/>
          </w:tcPr>
          <w:p w14:paraId="3A4007E7" w14:textId="28AE4A57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Shares</w:t>
            </w:r>
          </w:p>
        </w:tc>
        <w:tc>
          <w:tcPr>
            <w:tcW w:w="1502" w:type="dxa"/>
          </w:tcPr>
          <w:p w14:paraId="457BFCD6" w14:textId="2501D5B8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Shares</w:t>
            </w:r>
          </w:p>
        </w:tc>
        <w:tc>
          <w:tcPr>
            <w:tcW w:w="1503" w:type="dxa"/>
          </w:tcPr>
          <w:p w14:paraId="409F885E" w14:textId="4850F522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503" w:type="dxa"/>
          </w:tcPr>
          <w:p w14:paraId="433F43D5" w14:textId="1178E6FF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503" w:type="dxa"/>
          </w:tcPr>
          <w:p w14:paraId="6D1A195E" w14:textId="5BCA1975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503" w:type="dxa"/>
          </w:tcPr>
          <w:p w14:paraId="1D4C26EF" w14:textId="644E0296" w:rsidR="00961AEC" w:rsidRPr="00961AEC" w:rsidRDefault="00961AEC" w:rsidP="00961A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AEC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961AEC" w14:paraId="7A6701F3" w14:textId="77777777" w:rsidTr="00961AEC">
        <w:tc>
          <w:tcPr>
            <w:tcW w:w="1502" w:type="dxa"/>
          </w:tcPr>
          <w:p w14:paraId="428FA0FD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2" w:type="dxa"/>
          </w:tcPr>
          <w:p w14:paraId="1B1FE866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32234668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0E50C3D9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4B761AEC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0CF3A754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1AEC" w14:paraId="58FAC6D8" w14:textId="77777777" w:rsidTr="00961AEC">
        <w:tc>
          <w:tcPr>
            <w:tcW w:w="1502" w:type="dxa"/>
          </w:tcPr>
          <w:p w14:paraId="5CC2CF92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2" w:type="dxa"/>
          </w:tcPr>
          <w:p w14:paraId="38A1FD77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39858783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52AC78CB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3DA2D32C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2A8C0724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1AEC" w14:paraId="211BE10A" w14:textId="77777777" w:rsidTr="00961AEC">
        <w:tc>
          <w:tcPr>
            <w:tcW w:w="1502" w:type="dxa"/>
          </w:tcPr>
          <w:p w14:paraId="27AB3359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2" w:type="dxa"/>
          </w:tcPr>
          <w:p w14:paraId="6DDD9FDE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6A4AECE0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576E3680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3A2DA045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036A53C2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1AEC" w14:paraId="6EC81530" w14:textId="77777777" w:rsidTr="00961AEC">
        <w:tc>
          <w:tcPr>
            <w:tcW w:w="1502" w:type="dxa"/>
          </w:tcPr>
          <w:p w14:paraId="459512E0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2" w:type="dxa"/>
          </w:tcPr>
          <w:p w14:paraId="0301F7D7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7D8DAC1F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3F112A3C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108E0BB4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3" w:type="dxa"/>
          </w:tcPr>
          <w:p w14:paraId="3463ABF1" w14:textId="77777777" w:rsidR="00961AEC" w:rsidRDefault="00961AEC" w:rsidP="00961AE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77687B" w14:textId="77777777" w:rsidR="00961AEC" w:rsidRPr="00961AEC" w:rsidRDefault="00961AEC" w:rsidP="00961AEC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961AEC" w:rsidRPr="00961AEC" w:rsidSect="00961AEC">
      <w:type w:val="continuous"/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84F"/>
    <w:multiLevelType w:val="hybridMultilevel"/>
    <w:tmpl w:val="2E4A25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78026C"/>
    <w:multiLevelType w:val="hybridMultilevel"/>
    <w:tmpl w:val="5B0C742E"/>
    <w:lvl w:ilvl="0" w:tplc="2CB8D3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773352">
    <w:abstractNumId w:val="0"/>
  </w:num>
  <w:num w:numId="2" w16cid:durableId="3546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4"/>
    <w:rsid w:val="00140178"/>
    <w:rsid w:val="002A1494"/>
    <w:rsid w:val="008C02CC"/>
    <w:rsid w:val="00961AEC"/>
    <w:rsid w:val="00A921C9"/>
    <w:rsid w:val="00C228D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11CBA"/>
  <w15:chartTrackingRefBased/>
  <w15:docId w15:val="{A01E15E6-F742-5741-AC8F-13671CAB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94"/>
    <w:pPr>
      <w:ind w:left="720"/>
      <w:contextualSpacing/>
    </w:pPr>
  </w:style>
  <w:style w:type="table" w:styleId="TableGrid">
    <w:name w:val="Table Grid"/>
    <w:basedOn w:val="TableNormal"/>
    <w:uiPriority w:val="39"/>
    <w:rsid w:val="00961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2023-07-11T14:43:00Z</dcterms:created>
  <dcterms:modified xsi:type="dcterms:W3CDTF">2023-07-11T14:52:00Z</dcterms:modified>
</cp:coreProperties>
</file>