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FC38" w14:textId="54835627" w:rsidR="00D93FCE" w:rsidRPr="00D93FCE" w:rsidRDefault="00D93FCE" w:rsidP="00D93FCE">
      <w:pPr>
        <w:rPr>
          <w:rFonts w:ascii="MiSans Normal" w:eastAsia="MiSans Normal" w:hAnsi="MiSans Normal"/>
          <w:b/>
          <w:bCs/>
          <w:sz w:val="20"/>
          <w:szCs w:val="20"/>
          <w:lang w:val="en-MY"/>
        </w:rPr>
      </w:pPr>
      <w:r w:rsidRPr="00D93FCE">
        <w:rPr>
          <w:rFonts w:ascii="MiSans Normal" w:eastAsia="MiSans Normal" w:hAnsi="MiSans Normal"/>
          <w:b/>
          <w:bCs/>
          <w:sz w:val="20"/>
          <w:szCs w:val="20"/>
          <w:lang w:val="en-MY"/>
        </w:rPr>
        <w:t xml:space="preserve">Practice </w:t>
      </w:r>
      <w:r w:rsidR="008C1A98">
        <w:rPr>
          <w:rFonts w:ascii="MiSans Normal" w:eastAsia="MiSans Normal" w:hAnsi="MiSans Normal"/>
          <w:b/>
          <w:bCs/>
          <w:sz w:val="20"/>
          <w:szCs w:val="20"/>
          <w:lang w:val="en-MY"/>
        </w:rPr>
        <w:t>3</w:t>
      </w:r>
    </w:p>
    <w:p w14:paraId="615A8985" w14:textId="1565E834" w:rsidR="008C02CC" w:rsidRDefault="00D93FCE">
      <w:pPr>
        <w:rPr>
          <w:rFonts w:ascii="MiSans Normal" w:eastAsia="MiSans Normal" w:hAnsi="MiSans Normal"/>
          <w:sz w:val="20"/>
          <w:szCs w:val="20"/>
        </w:rPr>
      </w:pPr>
      <w:r w:rsidRPr="00D93FCE">
        <w:rPr>
          <w:rFonts w:ascii="MiSans Normal" w:eastAsia="MiSans Normal" w:hAnsi="MiSans Normal"/>
          <w:sz w:val="20"/>
          <w:szCs w:val="20"/>
        </w:rPr>
        <w:t>X Company</w:t>
      </w:r>
      <w:r>
        <w:rPr>
          <w:rFonts w:ascii="MiSans Normal" w:eastAsia="MiSans Normal" w:hAnsi="MiSans Normal"/>
          <w:sz w:val="20"/>
          <w:szCs w:val="20"/>
        </w:rPr>
        <w:t xml:space="preserve"> has a branch at Ipoh. A full double entry record is kept in the branch’s books. All purchases are made by head office and goods sent to the branch are invoiced at cost plus 25%.</w:t>
      </w:r>
    </w:p>
    <w:p w14:paraId="1F29C333" w14:textId="09B15BE3" w:rsidR="00D93FCE" w:rsidRDefault="00D93FCE">
      <w:pPr>
        <w:rPr>
          <w:rFonts w:ascii="MiSans Normal" w:eastAsia="MiSans Normal" w:hAnsi="MiSans Normal"/>
          <w:sz w:val="20"/>
          <w:szCs w:val="20"/>
        </w:rPr>
      </w:pPr>
      <w:r>
        <w:rPr>
          <w:rFonts w:ascii="MiSans Normal" w:eastAsia="MiSans Normal" w:hAnsi="MiSans Normal"/>
          <w:sz w:val="20"/>
          <w:szCs w:val="20"/>
        </w:rPr>
        <w:t>The following Trial Balance was extracted from the head office and the branch as at 30 June Year 3, which was the end of the first year of trading for the Ipoh branch</w:t>
      </w:r>
      <w:r w:rsidR="00971766">
        <w:rPr>
          <w:rFonts w:ascii="MiSans Normal" w:eastAsia="MiSans Normal" w:hAnsi="MiSans Normal"/>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28"/>
        <w:gridCol w:w="241"/>
        <w:gridCol w:w="1518"/>
      </w:tblGrid>
      <w:tr w:rsidR="00D37D3C" w14:paraId="671B77C8" w14:textId="77777777" w:rsidTr="00D37D3C">
        <w:tc>
          <w:tcPr>
            <w:tcW w:w="7513" w:type="dxa"/>
          </w:tcPr>
          <w:p w14:paraId="23831F17" w14:textId="77777777" w:rsidR="00D37D3C" w:rsidRDefault="00D37D3C" w:rsidP="00971766">
            <w:pPr>
              <w:spacing w:after="0"/>
              <w:rPr>
                <w:rFonts w:ascii="MiSans Normal" w:eastAsia="MiSans Normal" w:hAnsi="MiSans Normal"/>
                <w:sz w:val="20"/>
                <w:szCs w:val="20"/>
              </w:rPr>
            </w:pPr>
          </w:p>
        </w:tc>
        <w:tc>
          <w:tcPr>
            <w:tcW w:w="1528" w:type="dxa"/>
          </w:tcPr>
          <w:p w14:paraId="784C8527" w14:textId="72E6BEA0" w:rsidR="00D37D3C" w:rsidRPr="00971766" w:rsidRDefault="00D37D3C" w:rsidP="00971766">
            <w:pPr>
              <w:spacing w:after="0"/>
              <w:jc w:val="center"/>
              <w:rPr>
                <w:rFonts w:ascii="MiSans Normal" w:eastAsia="MiSans Normal" w:hAnsi="MiSans Normal"/>
                <w:b/>
                <w:bCs/>
                <w:sz w:val="20"/>
                <w:szCs w:val="20"/>
                <w:u w:val="single"/>
              </w:rPr>
            </w:pPr>
            <w:r w:rsidRPr="00971766">
              <w:rPr>
                <w:rFonts w:ascii="MiSans Normal" w:eastAsia="MiSans Normal" w:hAnsi="MiSans Normal"/>
                <w:b/>
                <w:bCs/>
                <w:sz w:val="20"/>
                <w:szCs w:val="20"/>
                <w:u w:val="single"/>
              </w:rPr>
              <w:t>Head Office</w:t>
            </w:r>
          </w:p>
        </w:tc>
        <w:tc>
          <w:tcPr>
            <w:tcW w:w="241" w:type="dxa"/>
          </w:tcPr>
          <w:p w14:paraId="42924A35" w14:textId="77777777" w:rsidR="00D37D3C" w:rsidRPr="00971766" w:rsidRDefault="00D37D3C" w:rsidP="00971766">
            <w:pPr>
              <w:spacing w:after="0"/>
              <w:jc w:val="center"/>
              <w:rPr>
                <w:rFonts w:ascii="MiSans Normal" w:eastAsia="MiSans Normal" w:hAnsi="MiSans Normal"/>
                <w:b/>
                <w:bCs/>
                <w:sz w:val="20"/>
                <w:szCs w:val="20"/>
                <w:u w:val="single"/>
              </w:rPr>
            </w:pPr>
          </w:p>
        </w:tc>
        <w:tc>
          <w:tcPr>
            <w:tcW w:w="1518" w:type="dxa"/>
          </w:tcPr>
          <w:p w14:paraId="2A9D142B" w14:textId="04942669" w:rsidR="00D37D3C" w:rsidRPr="00971766" w:rsidRDefault="00D37D3C" w:rsidP="00971766">
            <w:pPr>
              <w:spacing w:after="0"/>
              <w:jc w:val="center"/>
              <w:rPr>
                <w:rFonts w:ascii="MiSans Normal" w:eastAsia="MiSans Normal" w:hAnsi="MiSans Normal"/>
                <w:b/>
                <w:bCs/>
                <w:sz w:val="20"/>
                <w:szCs w:val="20"/>
                <w:u w:val="single"/>
              </w:rPr>
            </w:pPr>
            <w:r w:rsidRPr="00971766">
              <w:rPr>
                <w:rFonts w:ascii="MiSans Normal" w:eastAsia="MiSans Normal" w:hAnsi="MiSans Normal"/>
                <w:b/>
                <w:bCs/>
                <w:sz w:val="20"/>
                <w:szCs w:val="20"/>
                <w:u w:val="single"/>
              </w:rPr>
              <w:t>Branch</w:t>
            </w:r>
          </w:p>
        </w:tc>
      </w:tr>
      <w:tr w:rsidR="00E2731D" w14:paraId="6FC30F6E" w14:textId="77777777" w:rsidTr="00D37D3C">
        <w:tc>
          <w:tcPr>
            <w:tcW w:w="7513" w:type="dxa"/>
          </w:tcPr>
          <w:p w14:paraId="23CF1C68" w14:textId="11A5AD43" w:rsidR="00E2731D" w:rsidRDefault="00E2731D" w:rsidP="00E2731D">
            <w:pPr>
              <w:spacing w:after="0"/>
              <w:rPr>
                <w:rFonts w:ascii="MiSans Normal" w:eastAsia="MiSans Normal" w:hAnsi="MiSans Normal"/>
                <w:sz w:val="20"/>
                <w:szCs w:val="20"/>
              </w:rPr>
            </w:pPr>
            <w:r w:rsidRPr="001E10AB">
              <w:rPr>
                <w:rFonts w:ascii="MiSans Normal" w:eastAsia="MiSans Normal" w:hAnsi="MiSans Normal"/>
                <w:b/>
                <w:bCs/>
                <w:sz w:val="20"/>
                <w:szCs w:val="20"/>
              </w:rPr>
              <w:t>Debit:</w:t>
            </w:r>
          </w:p>
        </w:tc>
        <w:tc>
          <w:tcPr>
            <w:tcW w:w="1528" w:type="dxa"/>
          </w:tcPr>
          <w:p w14:paraId="5B819912" w14:textId="4B649D15" w:rsidR="00E2731D" w:rsidRPr="00971766" w:rsidRDefault="00E2731D" w:rsidP="00E2731D">
            <w:pPr>
              <w:spacing w:after="0"/>
              <w:jc w:val="center"/>
              <w:rPr>
                <w:rFonts w:ascii="MiSans Normal" w:eastAsia="MiSans Normal" w:hAnsi="MiSans Normal"/>
                <w:b/>
                <w:bCs/>
                <w:sz w:val="20"/>
                <w:szCs w:val="20"/>
              </w:rPr>
            </w:pPr>
            <w:r w:rsidRPr="00971766">
              <w:rPr>
                <w:rFonts w:ascii="MiSans Normal" w:eastAsia="MiSans Normal" w:hAnsi="MiSans Normal"/>
                <w:b/>
                <w:bCs/>
                <w:sz w:val="20"/>
                <w:szCs w:val="20"/>
              </w:rPr>
              <w:t>RM</w:t>
            </w:r>
          </w:p>
        </w:tc>
        <w:tc>
          <w:tcPr>
            <w:tcW w:w="241" w:type="dxa"/>
          </w:tcPr>
          <w:p w14:paraId="04FBCF59" w14:textId="77777777" w:rsidR="00E2731D" w:rsidRPr="00971766" w:rsidRDefault="00E2731D" w:rsidP="00E2731D">
            <w:pPr>
              <w:spacing w:after="0"/>
              <w:jc w:val="center"/>
              <w:rPr>
                <w:rFonts w:ascii="MiSans Normal" w:eastAsia="MiSans Normal" w:hAnsi="MiSans Normal"/>
                <w:b/>
                <w:bCs/>
                <w:sz w:val="20"/>
                <w:szCs w:val="20"/>
              </w:rPr>
            </w:pPr>
          </w:p>
        </w:tc>
        <w:tc>
          <w:tcPr>
            <w:tcW w:w="1518" w:type="dxa"/>
          </w:tcPr>
          <w:p w14:paraId="15DA38D5" w14:textId="0135B8B6" w:rsidR="00E2731D" w:rsidRPr="00971766" w:rsidRDefault="00E2731D" w:rsidP="00E2731D">
            <w:pPr>
              <w:spacing w:after="0"/>
              <w:jc w:val="center"/>
              <w:rPr>
                <w:rFonts w:ascii="MiSans Normal" w:eastAsia="MiSans Normal" w:hAnsi="MiSans Normal"/>
                <w:b/>
                <w:bCs/>
                <w:sz w:val="20"/>
                <w:szCs w:val="20"/>
              </w:rPr>
            </w:pPr>
            <w:r w:rsidRPr="00971766">
              <w:rPr>
                <w:rFonts w:ascii="MiSans Normal" w:eastAsia="MiSans Normal" w:hAnsi="MiSans Normal"/>
                <w:b/>
                <w:bCs/>
                <w:sz w:val="20"/>
                <w:szCs w:val="20"/>
              </w:rPr>
              <w:t>RM</w:t>
            </w:r>
          </w:p>
        </w:tc>
      </w:tr>
      <w:tr w:rsidR="00E2731D" w14:paraId="1EC5E586" w14:textId="77777777" w:rsidTr="00D37D3C">
        <w:tc>
          <w:tcPr>
            <w:tcW w:w="7513" w:type="dxa"/>
          </w:tcPr>
          <w:p w14:paraId="2933D6D0" w14:textId="1BF4B145" w:rsidR="00E2731D" w:rsidRPr="001E10AB" w:rsidRDefault="00E2731D" w:rsidP="00E2731D">
            <w:pPr>
              <w:spacing w:after="0"/>
              <w:rPr>
                <w:rFonts w:ascii="MiSans Normal" w:eastAsia="MiSans Normal" w:hAnsi="MiSans Normal"/>
                <w:b/>
                <w:bCs/>
                <w:sz w:val="20"/>
                <w:szCs w:val="20"/>
              </w:rPr>
            </w:pPr>
            <w:r>
              <w:rPr>
                <w:rFonts w:ascii="MiSans Normal" w:eastAsia="MiSans Normal" w:hAnsi="MiSans Normal"/>
                <w:sz w:val="20"/>
                <w:szCs w:val="20"/>
              </w:rPr>
              <w:t xml:space="preserve">    Purchases</w:t>
            </w:r>
          </w:p>
        </w:tc>
        <w:tc>
          <w:tcPr>
            <w:tcW w:w="1528" w:type="dxa"/>
          </w:tcPr>
          <w:p w14:paraId="44C4B9F6" w14:textId="7DFD9DD8"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300,500</w:t>
            </w:r>
          </w:p>
        </w:tc>
        <w:tc>
          <w:tcPr>
            <w:tcW w:w="241" w:type="dxa"/>
          </w:tcPr>
          <w:p w14:paraId="1570F801"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4A1EE862" w14:textId="4B4E49C5" w:rsidR="00E2731D" w:rsidRDefault="00E2731D" w:rsidP="00E2731D">
            <w:pPr>
              <w:spacing w:after="0"/>
              <w:ind w:left="-181"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461A39D8" w14:textId="77777777" w:rsidTr="00D37D3C">
        <w:tc>
          <w:tcPr>
            <w:tcW w:w="7513" w:type="dxa"/>
          </w:tcPr>
          <w:p w14:paraId="29030B11" w14:textId="154153F3"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Inventory, 1 July Year 2, at cost</w:t>
            </w:r>
          </w:p>
        </w:tc>
        <w:tc>
          <w:tcPr>
            <w:tcW w:w="1528" w:type="dxa"/>
          </w:tcPr>
          <w:p w14:paraId="74CC464B" w14:textId="08A47D55"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31,000</w:t>
            </w:r>
          </w:p>
        </w:tc>
        <w:tc>
          <w:tcPr>
            <w:tcW w:w="241" w:type="dxa"/>
          </w:tcPr>
          <w:p w14:paraId="1A9F44E0"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5BB19126" w14:textId="29E6E9AC" w:rsidR="00E2731D" w:rsidRDefault="00E2731D" w:rsidP="00E2731D">
            <w:pPr>
              <w:spacing w:after="0"/>
              <w:ind w:left="-181"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31B7462E" w14:textId="77777777" w:rsidTr="00D37D3C">
        <w:tc>
          <w:tcPr>
            <w:tcW w:w="7513" w:type="dxa"/>
          </w:tcPr>
          <w:p w14:paraId="7729E18A" w14:textId="063E4761"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Branch Current</w:t>
            </w:r>
          </w:p>
        </w:tc>
        <w:tc>
          <w:tcPr>
            <w:tcW w:w="1528" w:type="dxa"/>
          </w:tcPr>
          <w:p w14:paraId="1CBE75AD" w14:textId="66295D96"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60,100</w:t>
            </w:r>
          </w:p>
        </w:tc>
        <w:tc>
          <w:tcPr>
            <w:tcW w:w="241" w:type="dxa"/>
          </w:tcPr>
          <w:p w14:paraId="1556C6B3"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51B54224" w14:textId="6B221399" w:rsidR="00E2731D" w:rsidRDefault="00E2731D" w:rsidP="00E2731D">
            <w:pPr>
              <w:spacing w:after="0"/>
              <w:ind w:left="-181"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1EE53BF1" w14:textId="77777777" w:rsidTr="00D37D3C">
        <w:tc>
          <w:tcPr>
            <w:tcW w:w="7513" w:type="dxa"/>
          </w:tcPr>
          <w:p w14:paraId="5F0C2A27" w14:textId="1E450D43"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Accounts Receivable</w:t>
            </w:r>
          </w:p>
        </w:tc>
        <w:tc>
          <w:tcPr>
            <w:tcW w:w="1528" w:type="dxa"/>
          </w:tcPr>
          <w:p w14:paraId="70B9F308" w14:textId="5714A4C0"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29,400</w:t>
            </w:r>
          </w:p>
        </w:tc>
        <w:tc>
          <w:tcPr>
            <w:tcW w:w="241" w:type="dxa"/>
          </w:tcPr>
          <w:p w14:paraId="655E201D"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28AD6415" w14:textId="3D118D14"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4,000</w:t>
            </w:r>
          </w:p>
        </w:tc>
      </w:tr>
      <w:tr w:rsidR="00E2731D" w14:paraId="67DA91CD" w14:textId="77777777" w:rsidTr="00D37D3C">
        <w:tc>
          <w:tcPr>
            <w:tcW w:w="7513" w:type="dxa"/>
          </w:tcPr>
          <w:p w14:paraId="5B395CDF" w14:textId="5A1A7F95"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Non-current Assets</w:t>
            </w:r>
          </w:p>
        </w:tc>
        <w:tc>
          <w:tcPr>
            <w:tcW w:w="1528" w:type="dxa"/>
          </w:tcPr>
          <w:p w14:paraId="42ACCC6D" w14:textId="28380780"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100,000</w:t>
            </w:r>
          </w:p>
        </w:tc>
        <w:tc>
          <w:tcPr>
            <w:tcW w:w="241" w:type="dxa"/>
          </w:tcPr>
          <w:p w14:paraId="76A30CA0"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7A2B3D46" w14:textId="6702EF4B"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32,400</w:t>
            </w:r>
          </w:p>
        </w:tc>
      </w:tr>
      <w:tr w:rsidR="00E2731D" w14:paraId="08C3F695" w14:textId="77777777" w:rsidTr="00D37D3C">
        <w:tc>
          <w:tcPr>
            <w:tcW w:w="7513" w:type="dxa"/>
          </w:tcPr>
          <w:p w14:paraId="47184A8D" w14:textId="459D5277"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General Expenses</w:t>
            </w:r>
          </w:p>
        </w:tc>
        <w:tc>
          <w:tcPr>
            <w:tcW w:w="1528" w:type="dxa"/>
          </w:tcPr>
          <w:p w14:paraId="09F0DE57" w14:textId="3679ACF8"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54,960</w:t>
            </w:r>
          </w:p>
        </w:tc>
        <w:tc>
          <w:tcPr>
            <w:tcW w:w="241" w:type="dxa"/>
          </w:tcPr>
          <w:p w14:paraId="6BC745D1"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788E5E48" w14:textId="6828440B"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36,480</w:t>
            </w:r>
          </w:p>
        </w:tc>
      </w:tr>
      <w:tr w:rsidR="00E2731D" w14:paraId="6A8DA552" w14:textId="77777777" w:rsidTr="00D37D3C">
        <w:tc>
          <w:tcPr>
            <w:tcW w:w="7513" w:type="dxa"/>
          </w:tcPr>
          <w:p w14:paraId="18A70BC6" w14:textId="3F71892E"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Goods Received from Head Office, at cost plus 25%</w:t>
            </w:r>
          </w:p>
        </w:tc>
        <w:tc>
          <w:tcPr>
            <w:tcW w:w="1528" w:type="dxa"/>
          </w:tcPr>
          <w:p w14:paraId="5B7B7688" w14:textId="2129294E" w:rsidR="00E2731D" w:rsidRDefault="00E2731D" w:rsidP="00E2731D">
            <w:pPr>
              <w:spacing w:after="0"/>
              <w:ind w:left="-254" w:right="571"/>
              <w:jc w:val="right"/>
              <w:rPr>
                <w:rFonts w:ascii="MiSans Normal" w:eastAsia="MiSans Normal" w:hAnsi="MiSans Normal"/>
                <w:sz w:val="20"/>
                <w:szCs w:val="20"/>
              </w:rPr>
            </w:pPr>
            <w:r>
              <w:rPr>
                <w:rFonts w:ascii="MiSans Normal" w:eastAsia="MiSans Normal" w:hAnsi="MiSans Normal"/>
                <w:sz w:val="20"/>
                <w:szCs w:val="20"/>
              </w:rPr>
              <w:t>-</w:t>
            </w:r>
          </w:p>
        </w:tc>
        <w:tc>
          <w:tcPr>
            <w:tcW w:w="241" w:type="dxa"/>
          </w:tcPr>
          <w:p w14:paraId="432E83A8"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2A7F23D0" w14:textId="56CE4B60"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170,500</w:t>
            </w:r>
          </w:p>
        </w:tc>
      </w:tr>
      <w:tr w:rsidR="00E2731D" w14:paraId="357130ED" w14:textId="77777777" w:rsidTr="00D37D3C">
        <w:tc>
          <w:tcPr>
            <w:tcW w:w="7513" w:type="dxa"/>
          </w:tcPr>
          <w:p w14:paraId="10DDA297" w14:textId="3C2761DB"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Cash at Bank</w:t>
            </w:r>
          </w:p>
        </w:tc>
        <w:tc>
          <w:tcPr>
            <w:tcW w:w="1528" w:type="dxa"/>
            <w:tcBorders>
              <w:bottom w:val="single" w:sz="4" w:space="0" w:color="auto"/>
            </w:tcBorders>
          </w:tcPr>
          <w:p w14:paraId="21B3323B" w14:textId="4BB0D852" w:rsidR="00E2731D" w:rsidRDefault="00E2731D" w:rsidP="00E2731D">
            <w:pPr>
              <w:spacing w:after="0"/>
              <w:ind w:left="-254" w:right="571"/>
              <w:jc w:val="right"/>
              <w:rPr>
                <w:rFonts w:ascii="MiSans Normal" w:eastAsia="MiSans Normal" w:hAnsi="MiSans Normal"/>
                <w:sz w:val="20"/>
                <w:szCs w:val="20"/>
              </w:rPr>
            </w:pPr>
            <w:r>
              <w:rPr>
                <w:rFonts w:ascii="MiSans Normal" w:eastAsia="MiSans Normal" w:hAnsi="MiSans Normal"/>
                <w:sz w:val="20"/>
                <w:szCs w:val="20"/>
              </w:rPr>
              <w:t>-</w:t>
            </w:r>
          </w:p>
        </w:tc>
        <w:tc>
          <w:tcPr>
            <w:tcW w:w="241" w:type="dxa"/>
          </w:tcPr>
          <w:p w14:paraId="705AA2F7" w14:textId="77777777" w:rsidR="00E2731D" w:rsidRDefault="00E2731D" w:rsidP="00E2731D">
            <w:pPr>
              <w:spacing w:after="0"/>
              <w:ind w:right="267"/>
              <w:jc w:val="right"/>
              <w:rPr>
                <w:rFonts w:ascii="MiSans Normal" w:eastAsia="MiSans Normal" w:hAnsi="MiSans Normal"/>
                <w:sz w:val="20"/>
                <w:szCs w:val="20"/>
              </w:rPr>
            </w:pPr>
          </w:p>
        </w:tc>
        <w:tc>
          <w:tcPr>
            <w:tcW w:w="1518" w:type="dxa"/>
            <w:tcBorders>
              <w:bottom w:val="single" w:sz="4" w:space="0" w:color="auto"/>
            </w:tcBorders>
          </w:tcPr>
          <w:p w14:paraId="729ABDD3" w14:textId="6A7D9F71"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1,720</w:t>
            </w:r>
          </w:p>
        </w:tc>
      </w:tr>
      <w:tr w:rsidR="00E2731D" w14:paraId="49A229F4" w14:textId="77777777" w:rsidTr="00D37D3C">
        <w:tc>
          <w:tcPr>
            <w:tcW w:w="7513" w:type="dxa"/>
          </w:tcPr>
          <w:p w14:paraId="4BFC3CA6" w14:textId="77777777" w:rsidR="00E2731D" w:rsidRDefault="00E2731D" w:rsidP="00E2731D">
            <w:pPr>
              <w:spacing w:after="0"/>
              <w:rPr>
                <w:rFonts w:ascii="MiSans Normal" w:eastAsia="MiSans Normal" w:hAnsi="MiSans Normal"/>
                <w:sz w:val="20"/>
                <w:szCs w:val="20"/>
              </w:rPr>
            </w:pPr>
          </w:p>
        </w:tc>
        <w:tc>
          <w:tcPr>
            <w:tcW w:w="1528" w:type="dxa"/>
            <w:tcBorders>
              <w:top w:val="single" w:sz="4" w:space="0" w:color="auto"/>
              <w:bottom w:val="double" w:sz="4" w:space="0" w:color="auto"/>
            </w:tcBorders>
          </w:tcPr>
          <w:p w14:paraId="26AF82B3" w14:textId="579EB830"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575,960</w:t>
            </w:r>
          </w:p>
        </w:tc>
        <w:tc>
          <w:tcPr>
            <w:tcW w:w="241" w:type="dxa"/>
          </w:tcPr>
          <w:p w14:paraId="66071D36" w14:textId="77777777" w:rsidR="00E2731D" w:rsidRDefault="00E2731D" w:rsidP="00E2731D">
            <w:pPr>
              <w:spacing w:after="0"/>
              <w:ind w:right="267"/>
              <w:jc w:val="right"/>
              <w:rPr>
                <w:rFonts w:ascii="MiSans Normal" w:eastAsia="MiSans Normal" w:hAnsi="MiSans Normal"/>
                <w:sz w:val="20"/>
                <w:szCs w:val="20"/>
              </w:rPr>
            </w:pPr>
          </w:p>
        </w:tc>
        <w:tc>
          <w:tcPr>
            <w:tcW w:w="1518" w:type="dxa"/>
            <w:tcBorders>
              <w:top w:val="single" w:sz="4" w:space="0" w:color="auto"/>
              <w:bottom w:val="double" w:sz="4" w:space="0" w:color="auto"/>
            </w:tcBorders>
          </w:tcPr>
          <w:p w14:paraId="3635D110" w14:textId="602AD3AA"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575,960</w:t>
            </w:r>
          </w:p>
        </w:tc>
      </w:tr>
      <w:tr w:rsidR="00E2731D" w14:paraId="7E3E3671" w14:textId="77777777" w:rsidTr="00D37D3C">
        <w:tc>
          <w:tcPr>
            <w:tcW w:w="7513" w:type="dxa"/>
          </w:tcPr>
          <w:p w14:paraId="1F768AB4" w14:textId="5B22C877" w:rsidR="00E2731D" w:rsidRPr="001E10AB" w:rsidRDefault="00E2731D" w:rsidP="00E2731D">
            <w:pPr>
              <w:spacing w:after="0"/>
              <w:rPr>
                <w:rFonts w:ascii="MiSans Normal" w:eastAsia="MiSans Normal" w:hAnsi="MiSans Normal"/>
                <w:b/>
                <w:bCs/>
                <w:sz w:val="20"/>
                <w:szCs w:val="20"/>
              </w:rPr>
            </w:pPr>
            <w:r w:rsidRPr="001E10AB">
              <w:rPr>
                <w:rFonts w:ascii="MiSans Normal" w:eastAsia="MiSans Normal" w:hAnsi="MiSans Normal"/>
                <w:b/>
                <w:bCs/>
                <w:sz w:val="20"/>
                <w:szCs w:val="20"/>
              </w:rPr>
              <w:t>Credit</w:t>
            </w:r>
            <w:r>
              <w:rPr>
                <w:rFonts w:ascii="MiSans Normal" w:eastAsia="MiSans Normal" w:hAnsi="MiSans Normal"/>
                <w:b/>
                <w:bCs/>
                <w:sz w:val="20"/>
                <w:szCs w:val="20"/>
              </w:rPr>
              <w:t>:</w:t>
            </w:r>
          </w:p>
        </w:tc>
        <w:tc>
          <w:tcPr>
            <w:tcW w:w="1528" w:type="dxa"/>
            <w:tcBorders>
              <w:top w:val="double" w:sz="4" w:space="0" w:color="auto"/>
            </w:tcBorders>
          </w:tcPr>
          <w:p w14:paraId="21B3D0BE" w14:textId="77777777" w:rsidR="00E2731D" w:rsidRDefault="00E2731D" w:rsidP="00E2731D">
            <w:pPr>
              <w:spacing w:after="0"/>
              <w:ind w:right="254"/>
              <w:jc w:val="right"/>
              <w:rPr>
                <w:rFonts w:ascii="MiSans Normal" w:eastAsia="MiSans Normal" w:hAnsi="MiSans Normal"/>
                <w:sz w:val="20"/>
                <w:szCs w:val="20"/>
              </w:rPr>
            </w:pPr>
          </w:p>
        </w:tc>
        <w:tc>
          <w:tcPr>
            <w:tcW w:w="241" w:type="dxa"/>
          </w:tcPr>
          <w:p w14:paraId="108C5D7E" w14:textId="77777777" w:rsidR="00E2731D" w:rsidRDefault="00E2731D" w:rsidP="00E2731D">
            <w:pPr>
              <w:spacing w:after="0"/>
              <w:ind w:right="267"/>
              <w:jc w:val="right"/>
              <w:rPr>
                <w:rFonts w:ascii="MiSans Normal" w:eastAsia="MiSans Normal" w:hAnsi="MiSans Normal"/>
                <w:sz w:val="20"/>
                <w:szCs w:val="20"/>
              </w:rPr>
            </w:pPr>
          </w:p>
        </w:tc>
        <w:tc>
          <w:tcPr>
            <w:tcW w:w="1518" w:type="dxa"/>
            <w:tcBorders>
              <w:top w:val="double" w:sz="4" w:space="0" w:color="auto"/>
            </w:tcBorders>
          </w:tcPr>
          <w:p w14:paraId="0A5BC917" w14:textId="39F89582" w:rsidR="00E2731D" w:rsidRDefault="00E2731D" w:rsidP="00E2731D">
            <w:pPr>
              <w:spacing w:after="0"/>
              <w:ind w:right="267"/>
              <w:jc w:val="right"/>
              <w:rPr>
                <w:rFonts w:ascii="MiSans Normal" w:eastAsia="MiSans Normal" w:hAnsi="MiSans Normal"/>
                <w:sz w:val="20"/>
                <w:szCs w:val="20"/>
              </w:rPr>
            </w:pPr>
          </w:p>
        </w:tc>
      </w:tr>
      <w:tr w:rsidR="00E2731D" w14:paraId="1646B79F" w14:textId="77777777" w:rsidTr="00D37D3C">
        <w:tc>
          <w:tcPr>
            <w:tcW w:w="7513" w:type="dxa"/>
          </w:tcPr>
          <w:p w14:paraId="6EF96FE1" w14:textId="7F93B5F8"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Capital</w:t>
            </w:r>
          </w:p>
        </w:tc>
        <w:tc>
          <w:tcPr>
            <w:tcW w:w="1528" w:type="dxa"/>
          </w:tcPr>
          <w:p w14:paraId="7245FCED" w14:textId="2E5DBA9A"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126,060</w:t>
            </w:r>
          </w:p>
        </w:tc>
        <w:tc>
          <w:tcPr>
            <w:tcW w:w="241" w:type="dxa"/>
          </w:tcPr>
          <w:p w14:paraId="28BF2116"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02050969" w14:textId="73EB6643" w:rsidR="00E2731D" w:rsidRDefault="00E2731D" w:rsidP="00E2731D">
            <w:pPr>
              <w:spacing w:after="0"/>
              <w:ind w:left="-323"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130F0789" w14:textId="77777777" w:rsidTr="00D37D3C">
        <w:tc>
          <w:tcPr>
            <w:tcW w:w="7513" w:type="dxa"/>
          </w:tcPr>
          <w:p w14:paraId="177EEA60" w14:textId="7EDA5340"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Sales</w:t>
            </w:r>
          </w:p>
        </w:tc>
        <w:tc>
          <w:tcPr>
            <w:tcW w:w="1528" w:type="dxa"/>
          </w:tcPr>
          <w:p w14:paraId="7AF2102E" w14:textId="5495F147"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260,000</w:t>
            </w:r>
          </w:p>
        </w:tc>
        <w:tc>
          <w:tcPr>
            <w:tcW w:w="241" w:type="dxa"/>
          </w:tcPr>
          <w:p w14:paraId="0B10786C"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3363B477" w14:textId="47650F80"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185,000</w:t>
            </w:r>
          </w:p>
        </w:tc>
      </w:tr>
      <w:tr w:rsidR="00E2731D" w14:paraId="798E60A6" w14:textId="77777777" w:rsidTr="00D37D3C">
        <w:tc>
          <w:tcPr>
            <w:tcW w:w="7513" w:type="dxa"/>
          </w:tcPr>
          <w:p w14:paraId="2E3941BD" w14:textId="72451061"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Goods Sent to Branch, at cost plus 25%</w:t>
            </w:r>
          </w:p>
        </w:tc>
        <w:tc>
          <w:tcPr>
            <w:tcW w:w="1528" w:type="dxa"/>
          </w:tcPr>
          <w:p w14:paraId="659BC274" w14:textId="7EF95F5B"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170,500</w:t>
            </w:r>
          </w:p>
        </w:tc>
        <w:tc>
          <w:tcPr>
            <w:tcW w:w="241" w:type="dxa"/>
          </w:tcPr>
          <w:p w14:paraId="1D037D73"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237FD155" w14:textId="11E86F53" w:rsidR="00E2731D" w:rsidRDefault="00E2731D" w:rsidP="00E2731D">
            <w:pPr>
              <w:spacing w:after="0"/>
              <w:ind w:left="-323"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596E0973" w14:textId="77777777" w:rsidTr="00D37D3C">
        <w:tc>
          <w:tcPr>
            <w:tcW w:w="7513" w:type="dxa"/>
          </w:tcPr>
          <w:p w14:paraId="243E9FB9" w14:textId="0430F39B"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Bank Overdraft</w:t>
            </w:r>
          </w:p>
        </w:tc>
        <w:tc>
          <w:tcPr>
            <w:tcW w:w="1528" w:type="dxa"/>
          </w:tcPr>
          <w:p w14:paraId="1182438B" w14:textId="7BAF6D38"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12,400</w:t>
            </w:r>
          </w:p>
        </w:tc>
        <w:tc>
          <w:tcPr>
            <w:tcW w:w="241" w:type="dxa"/>
          </w:tcPr>
          <w:p w14:paraId="06483257"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4D65E77A" w14:textId="29F06465" w:rsidR="00E2731D" w:rsidRDefault="00E2731D" w:rsidP="00E2731D">
            <w:pPr>
              <w:spacing w:after="0"/>
              <w:ind w:left="-323"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79E9E14A" w14:textId="77777777" w:rsidTr="00D37D3C">
        <w:tc>
          <w:tcPr>
            <w:tcW w:w="7513" w:type="dxa"/>
          </w:tcPr>
          <w:p w14:paraId="49064361" w14:textId="251F9B2B"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Accounts Payable</w:t>
            </w:r>
          </w:p>
        </w:tc>
        <w:tc>
          <w:tcPr>
            <w:tcW w:w="1528" w:type="dxa"/>
          </w:tcPr>
          <w:p w14:paraId="1053B2BD" w14:textId="5520E0D4"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7,000</w:t>
            </w:r>
          </w:p>
        </w:tc>
        <w:tc>
          <w:tcPr>
            <w:tcW w:w="241" w:type="dxa"/>
          </w:tcPr>
          <w:p w14:paraId="4CAF7DB8" w14:textId="77777777" w:rsidR="00E2731D" w:rsidRDefault="00E2731D" w:rsidP="00E2731D">
            <w:pPr>
              <w:spacing w:after="0"/>
              <w:ind w:right="267"/>
              <w:jc w:val="right"/>
              <w:rPr>
                <w:rFonts w:ascii="MiSans Normal" w:eastAsia="MiSans Normal" w:hAnsi="MiSans Normal"/>
                <w:sz w:val="20"/>
                <w:szCs w:val="20"/>
              </w:rPr>
            </w:pPr>
          </w:p>
        </w:tc>
        <w:tc>
          <w:tcPr>
            <w:tcW w:w="1518" w:type="dxa"/>
          </w:tcPr>
          <w:p w14:paraId="75FCAF9C" w14:textId="1ABFD733" w:rsidR="00E2731D" w:rsidRDefault="00E2731D" w:rsidP="00E2731D">
            <w:pPr>
              <w:spacing w:after="0"/>
              <w:ind w:left="-323" w:right="629"/>
              <w:jc w:val="right"/>
              <w:rPr>
                <w:rFonts w:ascii="MiSans Normal" w:eastAsia="MiSans Normal" w:hAnsi="MiSans Normal"/>
                <w:sz w:val="20"/>
                <w:szCs w:val="20"/>
              </w:rPr>
            </w:pPr>
            <w:r>
              <w:rPr>
                <w:rFonts w:ascii="MiSans Normal" w:eastAsia="MiSans Normal" w:hAnsi="MiSans Normal"/>
                <w:sz w:val="20"/>
                <w:szCs w:val="20"/>
              </w:rPr>
              <w:t>-</w:t>
            </w:r>
          </w:p>
        </w:tc>
      </w:tr>
      <w:tr w:rsidR="00E2731D" w14:paraId="588B76DF" w14:textId="77777777" w:rsidTr="00D37D3C">
        <w:tc>
          <w:tcPr>
            <w:tcW w:w="7513" w:type="dxa"/>
          </w:tcPr>
          <w:p w14:paraId="271AA2D6" w14:textId="7B537919" w:rsidR="00E2731D" w:rsidRDefault="00E2731D" w:rsidP="00E2731D">
            <w:pPr>
              <w:spacing w:after="0"/>
              <w:rPr>
                <w:rFonts w:ascii="MiSans Normal" w:eastAsia="MiSans Normal" w:hAnsi="MiSans Normal"/>
                <w:sz w:val="20"/>
                <w:szCs w:val="20"/>
              </w:rPr>
            </w:pPr>
            <w:r>
              <w:rPr>
                <w:rFonts w:ascii="MiSans Normal" w:eastAsia="MiSans Normal" w:hAnsi="MiSans Normal"/>
                <w:sz w:val="20"/>
                <w:szCs w:val="20"/>
              </w:rPr>
              <w:t xml:space="preserve">    Head Office Current</w:t>
            </w:r>
          </w:p>
        </w:tc>
        <w:tc>
          <w:tcPr>
            <w:tcW w:w="1528" w:type="dxa"/>
            <w:tcBorders>
              <w:bottom w:val="single" w:sz="4" w:space="0" w:color="auto"/>
            </w:tcBorders>
          </w:tcPr>
          <w:p w14:paraId="43E5BCAA" w14:textId="7872EB09" w:rsidR="00E2731D" w:rsidRDefault="00E2731D" w:rsidP="00E2731D">
            <w:pPr>
              <w:spacing w:after="0"/>
              <w:ind w:left="-254" w:right="632" w:firstLine="112"/>
              <w:jc w:val="right"/>
              <w:rPr>
                <w:rFonts w:ascii="MiSans Normal" w:eastAsia="MiSans Normal" w:hAnsi="MiSans Normal"/>
                <w:sz w:val="20"/>
                <w:szCs w:val="20"/>
              </w:rPr>
            </w:pPr>
            <w:r>
              <w:rPr>
                <w:rFonts w:ascii="MiSans Normal" w:eastAsia="MiSans Normal" w:hAnsi="MiSans Normal"/>
                <w:sz w:val="20"/>
                <w:szCs w:val="20"/>
              </w:rPr>
              <w:t>-</w:t>
            </w:r>
          </w:p>
        </w:tc>
        <w:tc>
          <w:tcPr>
            <w:tcW w:w="241" w:type="dxa"/>
          </w:tcPr>
          <w:p w14:paraId="7F91BC05" w14:textId="77777777" w:rsidR="00E2731D" w:rsidRDefault="00E2731D" w:rsidP="00E2731D">
            <w:pPr>
              <w:spacing w:after="0"/>
              <w:ind w:right="267"/>
              <w:jc w:val="right"/>
              <w:rPr>
                <w:rFonts w:ascii="MiSans Normal" w:eastAsia="MiSans Normal" w:hAnsi="MiSans Normal"/>
                <w:sz w:val="20"/>
                <w:szCs w:val="20"/>
              </w:rPr>
            </w:pPr>
          </w:p>
        </w:tc>
        <w:tc>
          <w:tcPr>
            <w:tcW w:w="1518" w:type="dxa"/>
            <w:tcBorders>
              <w:bottom w:val="single" w:sz="4" w:space="0" w:color="auto"/>
            </w:tcBorders>
          </w:tcPr>
          <w:p w14:paraId="5F83A630" w14:textId="0376CC8C"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60,100</w:t>
            </w:r>
          </w:p>
        </w:tc>
      </w:tr>
      <w:tr w:rsidR="00E2731D" w14:paraId="3BDA47A6" w14:textId="77777777" w:rsidTr="00D37D3C">
        <w:tc>
          <w:tcPr>
            <w:tcW w:w="7513" w:type="dxa"/>
          </w:tcPr>
          <w:p w14:paraId="2303D6CD" w14:textId="77777777" w:rsidR="00E2731D" w:rsidRDefault="00E2731D" w:rsidP="00E2731D">
            <w:pPr>
              <w:spacing w:after="0"/>
              <w:rPr>
                <w:rFonts w:ascii="MiSans Normal" w:eastAsia="MiSans Normal" w:hAnsi="MiSans Normal"/>
                <w:sz w:val="20"/>
                <w:szCs w:val="20"/>
              </w:rPr>
            </w:pPr>
          </w:p>
        </w:tc>
        <w:tc>
          <w:tcPr>
            <w:tcW w:w="1528" w:type="dxa"/>
            <w:tcBorders>
              <w:top w:val="single" w:sz="4" w:space="0" w:color="auto"/>
              <w:bottom w:val="double" w:sz="4" w:space="0" w:color="auto"/>
            </w:tcBorders>
          </w:tcPr>
          <w:p w14:paraId="6554455F" w14:textId="3F232E7C" w:rsidR="00E2731D" w:rsidRDefault="00E2731D" w:rsidP="00E2731D">
            <w:pPr>
              <w:spacing w:after="0"/>
              <w:ind w:right="254"/>
              <w:jc w:val="right"/>
              <w:rPr>
                <w:rFonts w:ascii="MiSans Normal" w:eastAsia="MiSans Normal" w:hAnsi="MiSans Normal"/>
                <w:sz w:val="20"/>
                <w:szCs w:val="20"/>
              </w:rPr>
            </w:pPr>
            <w:r>
              <w:rPr>
                <w:rFonts w:ascii="MiSans Normal" w:eastAsia="MiSans Normal" w:hAnsi="MiSans Normal"/>
                <w:sz w:val="20"/>
                <w:szCs w:val="20"/>
              </w:rPr>
              <w:t>575,960</w:t>
            </w:r>
          </w:p>
        </w:tc>
        <w:tc>
          <w:tcPr>
            <w:tcW w:w="241" w:type="dxa"/>
          </w:tcPr>
          <w:p w14:paraId="7F4EE75A" w14:textId="77777777" w:rsidR="00E2731D" w:rsidRDefault="00E2731D" w:rsidP="00E2731D">
            <w:pPr>
              <w:spacing w:after="0"/>
              <w:ind w:right="267"/>
              <w:jc w:val="right"/>
              <w:rPr>
                <w:rFonts w:ascii="MiSans Normal" w:eastAsia="MiSans Normal" w:hAnsi="MiSans Normal"/>
                <w:sz w:val="20"/>
                <w:szCs w:val="20"/>
              </w:rPr>
            </w:pPr>
          </w:p>
        </w:tc>
        <w:tc>
          <w:tcPr>
            <w:tcW w:w="1518" w:type="dxa"/>
            <w:tcBorders>
              <w:top w:val="single" w:sz="4" w:space="0" w:color="auto"/>
              <w:bottom w:val="double" w:sz="4" w:space="0" w:color="auto"/>
            </w:tcBorders>
          </w:tcPr>
          <w:p w14:paraId="6CF6319D" w14:textId="14E70F9E" w:rsidR="00E2731D" w:rsidRDefault="00E2731D" w:rsidP="00E2731D">
            <w:pPr>
              <w:spacing w:after="0"/>
              <w:ind w:right="267"/>
              <w:jc w:val="right"/>
              <w:rPr>
                <w:rFonts w:ascii="MiSans Normal" w:eastAsia="MiSans Normal" w:hAnsi="MiSans Normal"/>
                <w:sz w:val="20"/>
                <w:szCs w:val="20"/>
              </w:rPr>
            </w:pPr>
            <w:r>
              <w:rPr>
                <w:rFonts w:ascii="MiSans Normal" w:eastAsia="MiSans Normal" w:hAnsi="MiSans Normal"/>
                <w:sz w:val="20"/>
                <w:szCs w:val="20"/>
              </w:rPr>
              <w:t>245,100</w:t>
            </w:r>
          </w:p>
        </w:tc>
      </w:tr>
    </w:tbl>
    <w:p w14:paraId="5EAB5BBA" w14:textId="77777777" w:rsidR="00971766" w:rsidRDefault="00971766" w:rsidP="00971766">
      <w:pPr>
        <w:spacing w:after="0"/>
        <w:rPr>
          <w:rFonts w:ascii="MiSans Normal" w:eastAsia="MiSans Normal" w:hAnsi="MiSans Normal"/>
          <w:sz w:val="20"/>
          <w:szCs w:val="20"/>
        </w:rPr>
      </w:pPr>
    </w:p>
    <w:p w14:paraId="280D0A34" w14:textId="7D0FD3E2" w:rsidR="00971766" w:rsidRDefault="00971766" w:rsidP="00971766">
      <w:pPr>
        <w:spacing w:after="0"/>
        <w:rPr>
          <w:rFonts w:ascii="MiSans Normal" w:eastAsia="MiSans Normal" w:hAnsi="MiSans Normal"/>
          <w:sz w:val="20"/>
          <w:szCs w:val="20"/>
        </w:rPr>
      </w:pPr>
      <w:r>
        <w:rPr>
          <w:rFonts w:ascii="MiSans Normal" w:eastAsia="MiSans Normal" w:hAnsi="MiSans Normal"/>
          <w:sz w:val="20"/>
          <w:szCs w:val="20"/>
        </w:rPr>
        <w:t>The inventory at 30 June Year 3 was valued as follows:</w:t>
      </w:r>
    </w:p>
    <w:p w14:paraId="3B192C2C" w14:textId="12768145" w:rsidR="00971766" w:rsidRDefault="00971766" w:rsidP="00971766">
      <w:pPr>
        <w:spacing w:after="0"/>
        <w:rPr>
          <w:rFonts w:ascii="MiSans Normal" w:eastAsia="MiSans Normal" w:hAnsi="MiSans Normal"/>
          <w:sz w:val="20"/>
          <w:szCs w:val="20"/>
        </w:rPr>
      </w:pPr>
      <w:r>
        <w:rPr>
          <w:rFonts w:ascii="MiSans Normal" w:eastAsia="MiSans Normal" w:hAnsi="MiSans Normal"/>
          <w:sz w:val="20"/>
          <w:szCs w:val="20"/>
        </w:rPr>
        <w:tab/>
        <w:t>Head office</w:t>
      </w:r>
      <w:r>
        <w:rPr>
          <w:rFonts w:ascii="MiSans Normal" w:eastAsia="MiSans Normal" w:hAnsi="MiSans Normal"/>
          <w:sz w:val="20"/>
          <w:szCs w:val="20"/>
        </w:rPr>
        <w:tab/>
        <w:t>RM34,400, at cost;</w:t>
      </w:r>
    </w:p>
    <w:p w14:paraId="1D15E533" w14:textId="19BD4897" w:rsidR="00971766" w:rsidRDefault="00971766">
      <w:pPr>
        <w:rPr>
          <w:rFonts w:ascii="MiSans Normal" w:eastAsia="MiSans Normal" w:hAnsi="MiSans Normal"/>
          <w:sz w:val="20"/>
          <w:szCs w:val="20"/>
        </w:rPr>
      </w:pPr>
      <w:r>
        <w:rPr>
          <w:rFonts w:ascii="MiSans Normal" w:eastAsia="MiSans Normal" w:hAnsi="MiSans Normal"/>
          <w:sz w:val="20"/>
          <w:szCs w:val="20"/>
        </w:rPr>
        <w:tab/>
        <w:t>Branch</w:t>
      </w:r>
      <w:r>
        <w:rPr>
          <w:rFonts w:ascii="MiSans Normal" w:eastAsia="MiSans Normal" w:hAnsi="MiSans Normal"/>
          <w:sz w:val="20"/>
          <w:szCs w:val="20"/>
        </w:rPr>
        <w:tab/>
      </w:r>
      <w:r>
        <w:rPr>
          <w:rFonts w:ascii="MiSans Normal" w:eastAsia="MiSans Normal" w:hAnsi="MiSans Normal"/>
          <w:sz w:val="20"/>
          <w:szCs w:val="20"/>
        </w:rPr>
        <w:tab/>
        <w:t>RM20,000, at cost plus 25%.</w:t>
      </w:r>
    </w:p>
    <w:p w14:paraId="63012578" w14:textId="681371CA" w:rsidR="00971766" w:rsidRDefault="00971766">
      <w:pPr>
        <w:rPr>
          <w:rFonts w:ascii="MiSans Normal" w:eastAsia="MiSans Normal" w:hAnsi="MiSans Normal"/>
          <w:sz w:val="20"/>
          <w:szCs w:val="20"/>
        </w:rPr>
      </w:pPr>
      <w:r w:rsidRPr="00971766">
        <w:rPr>
          <w:rFonts w:ascii="MiSans Normal" w:eastAsia="MiSans Normal" w:hAnsi="MiSans Normal"/>
          <w:b/>
          <w:bCs/>
          <w:sz w:val="20"/>
          <w:szCs w:val="20"/>
        </w:rPr>
        <w:t>You are required to prepare</w:t>
      </w:r>
      <w:r>
        <w:rPr>
          <w:rFonts w:ascii="MiSans Normal" w:eastAsia="MiSans Normal" w:hAnsi="MiSans Normal"/>
          <w:sz w:val="20"/>
          <w:szCs w:val="20"/>
        </w:rPr>
        <w:t xml:space="preserve"> the following columnar financial statements, including a “total” column for the whole business:</w:t>
      </w:r>
    </w:p>
    <w:p w14:paraId="428B870D" w14:textId="124A0F2F" w:rsidR="00971766" w:rsidRDefault="00971766" w:rsidP="00971766">
      <w:pPr>
        <w:pStyle w:val="ListParagraph"/>
        <w:numPr>
          <w:ilvl w:val="0"/>
          <w:numId w:val="2"/>
        </w:numPr>
        <w:rPr>
          <w:rFonts w:ascii="MiSans Normal" w:eastAsia="MiSans Normal" w:hAnsi="MiSans Normal"/>
          <w:sz w:val="20"/>
          <w:szCs w:val="20"/>
        </w:rPr>
      </w:pPr>
      <w:r>
        <w:rPr>
          <w:rFonts w:ascii="MiSans Normal" w:eastAsia="MiSans Normal" w:hAnsi="MiSans Normal"/>
          <w:sz w:val="20"/>
          <w:szCs w:val="20"/>
        </w:rPr>
        <w:t>Income Statement for the year ended 30 June Year 3;</w:t>
      </w:r>
    </w:p>
    <w:p w14:paraId="19C07FA3" w14:textId="435EF63E" w:rsidR="00971766" w:rsidRPr="00971766" w:rsidRDefault="00971766" w:rsidP="00971766">
      <w:pPr>
        <w:pStyle w:val="ListParagraph"/>
        <w:numPr>
          <w:ilvl w:val="0"/>
          <w:numId w:val="2"/>
        </w:numPr>
        <w:rPr>
          <w:rFonts w:ascii="MiSans Normal" w:eastAsia="MiSans Normal" w:hAnsi="MiSans Normal"/>
          <w:sz w:val="20"/>
          <w:szCs w:val="20"/>
        </w:rPr>
      </w:pPr>
      <w:r>
        <w:rPr>
          <w:rFonts w:ascii="MiSans Normal" w:eastAsia="MiSans Normal" w:hAnsi="MiSans Normal"/>
          <w:sz w:val="20"/>
          <w:szCs w:val="20"/>
        </w:rPr>
        <w:t>Statement of Financial Position as at 30 June Year 3.</w:t>
      </w:r>
    </w:p>
    <w:sectPr w:rsidR="00971766" w:rsidRPr="00971766" w:rsidSect="00825C75">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4C2E"/>
    <w:multiLevelType w:val="hybridMultilevel"/>
    <w:tmpl w:val="895061C6"/>
    <w:lvl w:ilvl="0" w:tplc="9F0E64C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F7B0663"/>
    <w:multiLevelType w:val="hybridMultilevel"/>
    <w:tmpl w:val="14BA6296"/>
    <w:lvl w:ilvl="0" w:tplc="20DCEFE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10427513">
    <w:abstractNumId w:val="0"/>
  </w:num>
  <w:num w:numId="2" w16cid:durableId="132338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CE"/>
    <w:rsid w:val="00140178"/>
    <w:rsid w:val="001E10AB"/>
    <w:rsid w:val="008C02CC"/>
    <w:rsid w:val="008C1A98"/>
    <w:rsid w:val="00971766"/>
    <w:rsid w:val="00A121DD"/>
    <w:rsid w:val="00A921C9"/>
    <w:rsid w:val="00D37D3C"/>
    <w:rsid w:val="00D93FCE"/>
    <w:rsid w:val="00E2731D"/>
    <w:rsid w:val="00E97D2C"/>
    <w:rsid w:val="00EB491B"/>
    <w:rsid w:val="00FC65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43D0C"/>
  <w15:chartTrackingRefBased/>
  <w15:docId w15:val="{D9251708-E54D-A442-90A4-C080C938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CE"/>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3FCE"/>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2023-07-12T23:04:00Z</dcterms:created>
  <dcterms:modified xsi:type="dcterms:W3CDTF">2023-07-13T04:05:00Z</dcterms:modified>
</cp:coreProperties>
</file>