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368C3" w14:textId="0A858204" w:rsidR="008C02CC" w:rsidRPr="00B14810" w:rsidRDefault="00B14810" w:rsidP="00B14810">
      <w:pPr>
        <w:spacing w:after="240" w:line="276" w:lineRule="auto"/>
        <w:jc w:val="both"/>
        <w:rPr>
          <w:rFonts w:ascii="MiSans Normal" w:eastAsia="MiSans Normal" w:hAnsi="MiSans Normal"/>
          <w:b/>
          <w:bCs/>
          <w:sz w:val="20"/>
          <w:szCs w:val="20"/>
          <w:lang w:val="en-US"/>
        </w:rPr>
      </w:pPr>
      <w:r w:rsidRPr="00B14810">
        <w:rPr>
          <w:rFonts w:ascii="MiSans Normal" w:eastAsia="MiSans Normal" w:hAnsi="MiSans Normal"/>
          <w:b/>
          <w:bCs/>
          <w:sz w:val="20"/>
          <w:szCs w:val="20"/>
          <w:lang w:val="en-US"/>
        </w:rPr>
        <w:t xml:space="preserve">Practice </w:t>
      </w:r>
      <w:r w:rsidRPr="00B14810">
        <w:rPr>
          <w:rFonts w:ascii="MiSans Normal" w:eastAsia="MiSans Normal" w:hAnsi="MiSans Normal"/>
          <w:b/>
          <w:bCs/>
          <w:sz w:val="20"/>
          <w:szCs w:val="20"/>
          <w:lang w:val="en-US"/>
        </w:rPr>
        <w:t>2</w:t>
      </w:r>
    </w:p>
    <w:p w14:paraId="6D320F0F" w14:textId="149A9DB1" w:rsidR="00B14810" w:rsidRPr="00B14810" w:rsidRDefault="00B14810" w:rsidP="00B14810">
      <w:pPr>
        <w:spacing w:after="240" w:line="276" w:lineRule="auto"/>
        <w:jc w:val="both"/>
        <w:rPr>
          <w:rFonts w:ascii="MiSans Normal" w:eastAsia="MiSans Normal" w:hAnsi="MiSans Normal"/>
          <w:sz w:val="20"/>
          <w:szCs w:val="20"/>
          <w:lang w:val="en-US"/>
        </w:rPr>
      </w:pPr>
      <w:r w:rsidRPr="00B14810">
        <w:rPr>
          <w:rFonts w:ascii="MiSans Normal" w:eastAsia="MiSans Normal" w:hAnsi="MiSans Normal"/>
          <w:sz w:val="20"/>
          <w:szCs w:val="20"/>
          <w:lang w:val="en-US"/>
        </w:rPr>
        <w:t>On 1 September Year 2, Big Glove Bhd decided to raise its capital by offering 200,000 ordinary shares of RM1.50 each at a price of RM2.00 per share payable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4111"/>
        <w:gridCol w:w="1134"/>
      </w:tblGrid>
      <w:tr w:rsidR="00B14810" w:rsidRPr="00B14810" w14:paraId="2177681A" w14:textId="77777777" w:rsidTr="00B14810">
        <w:tc>
          <w:tcPr>
            <w:tcW w:w="846" w:type="dxa"/>
          </w:tcPr>
          <w:p w14:paraId="398A6B33" w14:textId="77777777" w:rsidR="00B14810" w:rsidRPr="00B14810" w:rsidRDefault="00B14810" w:rsidP="00B14810">
            <w:pPr>
              <w:spacing w:line="276" w:lineRule="auto"/>
              <w:jc w:val="both"/>
              <w:rPr>
                <w:rFonts w:ascii="MiSans Normal" w:eastAsia="MiSans Normal" w:hAnsi="MiSans Normal"/>
                <w:sz w:val="20"/>
                <w:szCs w:val="20"/>
                <w:lang w:val="en-US"/>
              </w:rPr>
            </w:pPr>
          </w:p>
        </w:tc>
        <w:tc>
          <w:tcPr>
            <w:tcW w:w="4111" w:type="dxa"/>
          </w:tcPr>
          <w:p w14:paraId="0E3F579A" w14:textId="77777777" w:rsidR="00B14810" w:rsidRPr="00B14810" w:rsidRDefault="00B14810" w:rsidP="00B14810">
            <w:pPr>
              <w:spacing w:line="276" w:lineRule="auto"/>
              <w:jc w:val="center"/>
              <w:rPr>
                <w:rFonts w:ascii="MiSans Normal" w:eastAsia="MiSans Normal" w:hAnsi="MiSans Normal"/>
                <w:sz w:val="20"/>
                <w:szCs w:val="20"/>
                <w:lang w:val="en-US"/>
              </w:rPr>
            </w:pPr>
          </w:p>
        </w:tc>
        <w:tc>
          <w:tcPr>
            <w:tcW w:w="1134" w:type="dxa"/>
          </w:tcPr>
          <w:p w14:paraId="2F105AC8" w14:textId="2C2A23B5" w:rsidR="00B14810" w:rsidRPr="00B14810" w:rsidRDefault="00B14810" w:rsidP="00B14810">
            <w:pPr>
              <w:spacing w:line="276" w:lineRule="auto"/>
              <w:jc w:val="center"/>
              <w:rPr>
                <w:rFonts w:ascii="MiSans Normal" w:eastAsia="MiSans Normal" w:hAnsi="MiSans Normal"/>
                <w:b/>
                <w:bCs/>
                <w:sz w:val="20"/>
                <w:szCs w:val="20"/>
                <w:lang w:val="en-US"/>
              </w:rPr>
            </w:pPr>
            <w:r w:rsidRPr="00B14810">
              <w:rPr>
                <w:rFonts w:ascii="MiSans Normal" w:eastAsia="MiSans Normal" w:hAnsi="MiSans Normal"/>
                <w:b/>
                <w:bCs/>
                <w:sz w:val="20"/>
                <w:szCs w:val="20"/>
                <w:lang w:val="en-US"/>
              </w:rPr>
              <w:t>Per Share</w:t>
            </w:r>
          </w:p>
        </w:tc>
      </w:tr>
      <w:tr w:rsidR="00B14810" w:rsidRPr="00B14810" w14:paraId="7077BA9B" w14:textId="77777777" w:rsidTr="00B14810">
        <w:tc>
          <w:tcPr>
            <w:tcW w:w="846" w:type="dxa"/>
          </w:tcPr>
          <w:p w14:paraId="7CE15ED2" w14:textId="18DFBB63" w:rsidR="00B14810" w:rsidRPr="00B14810" w:rsidRDefault="00B14810" w:rsidP="00B14810">
            <w:pPr>
              <w:spacing w:line="276" w:lineRule="auto"/>
              <w:jc w:val="center"/>
              <w:rPr>
                <w:rFonts w:ascii="MiSans Normal" w:eastAsia="MiSans Normal" w:hAnsi="MiSans Normal"/>
                <w:sz w:val="20"/>
                <w:szCs w:val="20"/>
                <w:lang w:val="en-US"/>
              </w:rPr>
            </w:pPr>
            <w:r>
              <w:rPr>
                <w:rFonts w:ascii="MiSans Normal" w:eastAsia="MiSans Normal" w:hAnsi="MiSans Normal"/>
                <w:sz w:val="20"/>
                <w:szCs w:val="20"/>
                <w:lang w:val="en-US"/>
              </w:rPr>
              <w:t>Year 2</w:t>
            </w:r>
          </w:p>
        </w:tc>
        <w:tc>
          <w:tcPr>
            <w:tcW w:w="4111" w:type="dxa"/>
          </w:tcPr>
          <w:p w14:paraId="6CFF9306" w14:textId="77777777" w:rsidR="00B14810" w:rsidRPr="00B14810" w:rsidRDefault="00B14810" w:rsidP="00B14810">
            <w:pPr>
              <w:spacing w:line="276" w:lineRule="auto"/>
              <w:jc w:val="both"/>
              <w:rPr>
                <w:rFonts w:ascii="MiSans Normal" w:eastAsia="MiSans Normal" w:hAnsi="MiSans Normal"/>
                <w:sz w:val="20"/>
                <w:szCs w:val="20"/>
                <w:lang w:val="en-US"/>
              </w:rPr>
            </w:pPr>
          </w:p>
        </w:tc>
        <w:tc>
          <w:tcPr>
            <w:tcW w:w="1134" w:type="dxa"/>
          </w:tcPr>
          <w:p w14:paraId="23B84D3C" w14:textId="49445A2A" w:rsidR="00B14810" w:rsidRPr="00B14810" w:rsidRDefault="00B14810" w:rsidP="00B14810">
            <w:pPr>
              <w:spacing w:line="276" w:lineRule="auto"/>
              <w:jc w:val="center"/>
              <w:rPr>
                <w:rFonts w:ascii="MiSans Normal" w:eastAsia="MiSans Normal" w:hAnsi="MiSans Normal"/>
                <w:b/>
                <w:bCs/>
                <w:sz w:val="20"/>
                <w:szCs w:val="20"/>
                <w:lang w:val="en-US"/>
              </w:rPr>
            </w:pPr>
            <w:r w:rsidRPr="00B14810">
              <w:rPr>
                <w:rFonts w:ascii="MiSans Normal" w:eastAsia="MiSans Normal" w:hAnsi="MiSans Normal"/>
                <w:b/>
                <w:bCs/>
                <w:sz w:val="20"/>
                <w:szCs w:val="20"/>
                <w:lang w:val="en-US"/>
              </w:rPr>
              <w:t>RM</w:t>
            </w:r>
          </w:p>
        </w:tc>
      </w:tr>
      <w:tr w:rsidR="00B14810" w:rsidRPr="00B14810" w14:paraId="383FE24A" w14:textId="77777777" w:rsidTr="00B14810">
        <w:tc>
          <w:tcPr>
            <w:tcW w:w="846" w:type="dxa"/>
          </w:tcPr>
          <w:p w14:paraId="3C3EB4E9" w14:textId="2E61A021" w:rsidR="00B14810" w:rsidRPr="00B14810" w:rsidRDefault="00B14810" w:rsidP="00B14810">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 xml:space="preserve">Sept </w:t>
            </w:r>
            <w:r w:rsidRPr="00B14810">
              <w:rPr>
                <w:rFonts w:ascii="MiSans Normal" w:eastAsia="MiSans Normal" w:hAnsi="MiSans Normal"/>
                <w:sz w:val="15"/>
                <w:szCs w:val="15"/>
                <w:lang w:val="en-US"/>
              </w:rPr>
              <w:t xml:space="preserve"> </w:t>
            </w:r>
            <w:r>
              <w:rPr>
                <w:rFonts w:ascii="MiSans Normal" w:eastAsia="MiSans Normal" w:hAnsi="MiSans Normal"/>
                <w:sz w:val="20"/>
                <w:szCs w:val="20"/>
                <w:lang w:val="en-US"/>
              </w:rPr>
              <w:t>1</w:t>
            </w:r>
          </w:p>
        </w:tc>
        <w:tc>
          <w:tcPr>
            <w:tcW w:w="4111" w:type="dxa"/>
          </w:tcPr>
          <w:p w14:paraId="4CAF1800" w14:textId="41D570D9" w:rsidR="00B14810" w:rsidRPr="00B14810" w:rsidRDefault="00B14810" w:rsidP="00B14810">
            <w:pPr>
              <w:spacing w:line="276" w:lineRule="auto"/>
              <w:jc w:val="both"/>
              <w:rPr>
                <w:rFonts w:ascii="MiSans Normal" w:eastAsia="MiSans Normal" w:hAnsi="MiSans Normal"/>
                <w:sz w:val="20"/>
                <w:szCs w:val="20"/>
                <w:lang w:val="en-US"/>
              </w:rPr>
            </w:pPr>
            <w:r>
              <w:rPr>
                <w:rFonts w:ascii="MiSans Normal" w:eastAsia="MiSans Normal" w:hAnsi="MiSans Normal"/>
                <w:sz w:val="20"/>
                <w:szCs w:val="20"/>
                <w:lang w:val="en-US"/>
              </w:rPr>
              <w:t>Application, including premium RM0.50</w:t>
            </w:r>
          </w:p>
        </w:tc>
        <w:tc>
          <w:tcPr>
            <w:tcW w:w="1134" w:type="dxa"/>
          </w:tcPr>
          <w:p w14:paraId="74388B2B" w14:textId="3DF0982B" w:rsidR="00B14810" w:rsidRPr="00B14810" w:rsidRDefault="00B14810" w:rsidP="00B14810">
            <w:pPr>
              <w:spacing w:line="276" w:lineRule="auto"/>
              <w:jc w:val="center"/>
              <w:rPr>
                <w:rFonts w:ascii="MiSans Normal" w:eastAsia="MiSans Normal" w:hAnsi="MiSans Normal"/>
                <w:sz w:val="20"/>
                <w:szCs w:val="20"/>
                <w:lang w:val="en-US"/>
              </w:rPr>
            </w:pPr>
            <w:r>
              <w:rPr>
                <w:rFonts w:ascii="MiSans Normal" w:eastAsia="MiSans Normal" w:hAnsi="MiSans Normal"/>
                <w:sz w:val="20"/>
                <w:szCs w:val="20"/>
                <w:lang w:val="en-US"/>
              </w:rPr>
              <w:t>1.00</w:t>
            </w:r>
          </w:p>
        </w:tc>
      </w:tr>
      <w:tr w:rsidR="00B14810" w:rsidRPr="00B14810" w14:paraId="0FB5EAA8" w14:textId="77777777" w:rsidTr="00B14810">
        <w:tc>
          <w:tcPr>
            <w:tcW w:w="846" w:type="dxa"/>
          </w:tcPr>
          <w:p w14:paraId="05D8F97E" w14:textId="606AB0C3" w:rsidR="00B14810" w:rsidRPr="00B14810" w:rsidRDefault="00B14810" w:rsidP="00B14810">
            <w:pPr>
              <w:spacing w:line="276" w:lineRule="auto"/>
              <w:jc w:val="right"/>
              <w:rPr>
                <w:rFonts w:ascii="MiSans Normal" w:eastAsia="MiSans Normal" w:hAnsi="MiSans Normal"/>
                <w:sz w:val="20"/>
                <w:szCs w:val="20"/>
                <w:lang w:val="en-US"/>
              </w:rPr>
            </w:pPr>
            <w:r>
              <w:rPr>
                <w:rFonts w:ascii="MiSans Normal" w:eastAsia="MiSans Normal" w:hAnsi="MiSans Normal"/>
                <w:sz w:val="20"/>
                <w:szCs w:val="20"/>
                <w:lang w:val="en-US"/>
              </w:rPr>
              <w:t>24</w:t>
            </w:r>
          </w:p>
        </w:tc>
        <w:tc>
          <w:tcPr>
            <w:tcW w:w="4111" w:type="dxa"/>
          </w:tcPr>
          <w:p w14:paraId="6FE80A9F" w14:textId="0CE65EB9" w:rsidR="00B14810" w:rsidRPr="00B14810" w:rsidRDefault="00B14810" w:rsidP="00B14810">
            <w:pPr>
              <w:spacing w:line="276" w:lineRule="auto"/>
              <w:jc w:val="both"/>
              <w:rPr>
                <w:rFonts w:ascii="MiSans Normal" w:eastAsia="MiSans Normal" w:hAnsi="MiSans Normal"/>
                <w:sz w:val="20"/>
                <w:szCs w:val="20"/>
                <w:lang w:val="en-US"/>
              </w:rPr>
            </w:pPr>
            <w:r>
              <w:rPr>
                <w:rFonts w:ascii="MiSans Normal" w:eastAsia="MiSans Normal" w:hAnsi="MiSans Normal"/>
                <w:sz w:val="20"/>
                <w:szCs w:val="20"/>
                <w:lang w:val="en-US"/>
              </w:rPr>
              <w:t>Allotment</w:t>
            </w:r>
          </w:p>
        </w:tc>
        <w:tc>
          <w:tcPr>
            <w:tcW w:w="1134" w:type="dxa"/>
          </w:tcPr>
          <w:p w14:paraId="33EC6A47" w14:textId="03FFCC65" w:rsidR="00B14810" w:rsidRPr="00B14810" w:rsidRDefault="00B14810" w:rsidP="00B14810">
            <w:pPr>
              <w:spacing w:line="276" w:lineRule="auto"/>
              <w:jc w:val="center"/>
              <w:rPr>
                <w:rFonts w:ascii="MiSans Normal" w:eastAsia="MiSans Normal" w:hAnsi="MiSans Normal"/>
                <w:sz w:val="20"/>
                <w:szCs w:val="20"/>
                <w:lang w:val="en-US"/>
              </w:rPr>
            </w:pPr>
            <w:r>
              <w:rPr>
                <w:rFonts w:ascii="MiSans Normal" w:eastAsia="MiSans Normal" w:hAnsi="MiSans Normal"/>
                <w:sz w:val="20"/>
                <w:szCs w:val="20"/>
                <w:lang w:val="en-US"/>
              </w:rPr>
              <w:t>0.50</w:t>
            </w:r>
          </w:p>
        </w:tc>
      </w:tr>
      <w:tr w:rsidR="00B14810" w:rsidRPr="00B14810" w14:paraId="6318A0A3" w14:textId="77777777" w:rsidTr="00B14810">
        <w:tc>
          <w:tcPr>
            <w:tcW w:w="846" w:type="dxa"/>
          </w:tcPr>
          <w:p w14:paraId="50F7DFBC" w14:textId="3E79C9EC" w:rsidR="00B14810" w:rsidRPr="00B14810" w:rsidRDefault="00B14810" w:rsidP="00B14810">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Oct   1</w:t>
            </w:r>
          </w:p>
        </w:tc>
        <w:tc>
          <w:tcPr>
            <w:tcW w:w="4111" w:type="dxa"/>
          </w:tcPr>
          <w:p w14:paraId="504F0BAF" w14:textId="739E4E1F" w:rsidR="00B14810" w:rsidRPr="00B14810" w:rsidRDefault="00B14810" w:rsidP="00B14810">
            <w:pPr>
              <w:spacing w:line="276" w:lineRule="auto"/>
              <w:jc w:val="both"/>
              <w:rPr>
                <w:rFonts w:ascii="MiSans Normal" w:eastAsia="MiSans Normal" w:hAnsi="MiSans Normal"/>
                <w:sz w:val="20"/>
                <w:szCs w:val="20"/>
                <w:lang w:val="en-US"/>
              </w:rPr>
            </w:pPr>
            <w:r>
              <w:rPr>
                <w:rFonts w:ascii="MiSans Normal" w:eastAsia="MiSans Normal" w:hAnsi="MiSans Normal"/>
                <w:sz w:val="20"/>
                <w:szCs w:val="20"/>
                <w:lang w:val="en-US"/>
              </w:rPr>
              <w:t>First Call</w:t>
            </w:r>
          </w:p>
        </w:tc>
        <w:tc>
          <w:tcPr>
            <w:tcW w:w="1134" w:type="dxa"/>
          </w:tcPr>
          <w:p w14:paraId="038010FE" w14:textId="43A68D9C" w:rsidR="00B14810" w:rsidRPr="00B14810" w:rsidRDefault="00B14810" w:rsidP="00B14810">
            <w:pPr>
              <w:spacing w:line="276" w:lineRule="auto"/>
              <w:jc w:val="center"/>
              <w:rPr>
                <w:rFonts w:ascii="MiSans Normal" w:eastAsia="MiSans Normal" w:hAnsi="MiSans Normal"/>
                <w:sz w:val="20"/>
                <w:szCs w:val="20"/>
                <w:lang w:val="en-US"/>
              </w:rPr>
            </w:pPr>
            <w:r>
              <w:rPr>
                <w:rFonts w:ascii="MiSans Normal" w:eastAsia="MiSans Normal" w:hAnsi="MiSans Normal"/>
                <w:sz w:val="20"/>
                <w:szCs w:val="20"/>
                <w:lang w:val="en-US"/>
              </w:rPr>
              <w:t>0.30</w:t>
            </w:r>
          </w:p>
        </w:tc>
      </w:tr>
      <w:tr w:rsidR="00B14810" w:rsidRPr="00B14810" w14:paraId="36E7E1EA" w14:textId="77777777" w:rsidTr="00B14810">
        <w:tc>
          <w:tcPr>
            <w:tcW w:w="846" w:type="dxa"/>
          </w:tcPr>
          <w:p w14:paraId="42D7682E" w14:textId="2A1053D4" w:rsidR="00B14810" w:rsidRPr="00B14810" w:rsidRDefault="00B14810" w:rsidP="00B14810">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Nov</w:t>
            </w:r>
            <w:r w:rsidRPr="00B14810">
              <w:rPr>
                <w:rFonts w:ascii="MiSans Normal" w:eastAsia="MiSans Normal" w:hAnsi="MiSans Normal"/>
                <w:sz w:val="13"/>
                <w:szCs w:val="13"/>
                <w:lang w:val="en-US"/>
              </w:rPr>
              <w:t xml:space="preserve"> </w:t>
            </w:r>
            <w:r>
              <w:rPr>
                <w:rFonts w:ascii="MiSans Normal" w:eastAsia="MiSans Normal" w:hAnsi="MiSans Normal"/>
                <w:sz w:val="20"/>
                <w:szCs w:val="20"/>
                <w:lang w:val="en-US"/>
              </w:rPr>
              <w:t xml:space="preserve">  1</w:t>
            </w:r>
          </w:p>
        </w:tc>
        <w:tc>
          <w:tcPr>
            <w:tcW w:w="4111" w:type="dxa"/>
          </w:tcPr>
          <w:p w14:paraId="5CC473D1" w14:textId="26691868" w:rsidR="00B14810" w:rsidRPr="00B14810" w:rsidRDefault="00B14810" w:rsidP="00B14810">
            <w:pPr>
              <w:spacing w:line="276" w:lineRule="auto"/>
              <w:jc w:val="both"/>
              <w:rPr>
                <w:rFonts w:ascii="MiSans Normal" w:eastAsia="MiSans Normal" w:hAnsi="MiSans Normal"/>
                <w:sz w:val="20"/>
                <w:szCs w:val="20"/>
                <w:lang w:val="en-US"/>
              </w:rPr>
            </w:pPr>
            <w:r>
              <w:rPr>
                <w:rFonts w:ascii="MiSans Normal" w:eastAsia="MiSans Normal" w:hAnsi="MiSans Normal"/>
                <w:sz w:val="20"/>
                <w:szCs w:val="20"/>
                <w:lang w:val="en-US"/>
              </w:rPr>
              <w:t>Second and Final Call</w:t>
            </w:r>
          </w:p>
        </w:tc>
        <w:tc>
          <w:tcPr>
            <w:tcW w:w="1134" w:type="dxa"/>
            <w:tcBorders>
              <w:bottom w:val="single" w:sz="4" w:space="0" w:color="auto"/>
            </w:tcBorders>
          </w:tcPr>
          <w:p w14:paraId="779C0139" w14:textId="10BA3F52" w:rsidR="00B14810" w:rsidRPr="00B14810" w:rsidRDefault="00B14810" w:rsidP="00B14810">
            <w:pPr>
              <w:spacing w:line="276" w:lineRule="auto"/>
              <w:jc w:val="center"/>
              <w:rPr>
                <w:rFonts w:ascii="MiSans Normal" w:eastAsia="MiSans Normal" w:hAnsi="MiSans Normal"/>
                <w:sz w:val="20"/>
                <w:szCs w:val="20"/>
                <w:lang w:val="en-US"/>
              </w:rPr>
            </w:pPr>
            <w:r>
              <w:rPr>
                <w:rFonts w:ascii="MiSans Normal" w:eastAsia="MiSans Normal" w:hAnsi="MiSans Normal"/>
                <w:sz w:val="20"/>
                <w:szCs w:val="20"/>
                <w:lang w:val="en-US"/>
              </w:rPr>
              <w:t>0.20</w:t>
            </w:r>
          </w:p>
        </w:tc>
      </w:tr>
      <w:tr w:rsidR="00B14810" w:rsidRPr="00B14810" w14:paraId="7CA0659A" w14:textId="77777777" w:rsidTr="00B14810">
        <w:tc>
          <w:tcPr>
            <w:tcW w:w="846" w:type="dxa"/>
          </w:tcPr>
          <w:p w14:paraId="78D2B1BC" w14:textId="77777777" w:rsidR="00B14810" w:rsidRPr="00B14810" w:rsidRDefault="00B14810" w:rsidP="00B14810">
            <w:pPr>
              <w:spacing w:line="276" w:lineRule="auto"/>
              <w:jc w:val="both"/>
              <w:rPr>
                <w:rFonts w:ascii="MiSans Normal" w:eastAsia="MiSans Normal" w:hAnsi="MiSans Normal"/>
                <w:sz w:val="20"/>
                <w:szCs w:val="20"/>
                <w:lang w:val="en-US"/>
              </w:rPr>
            </w:pPr>
          </w:p>
        </w:tc>
        <w:tc>
          <w:tcPr>
            <w:tcW w:w="4111" w:type="dxa"/>
          </w:tcPr>
          <w:p w14:paraId="45F9706F" w14:textId="77777777" w:rsidR="00B14810" w:rsidRPr="00B14810" w:rsidRDefault="00B14810" w:rsidP="00B14810">
            <w:pPr>
              <w:spacing w:line="276" w:lineRule="auto"/>
              <w:jc w:val="both"/>
              <w:rPr>
                <w:rFonts w:ascii="MiSans Normal" w:eastAsia="MiSans Normal" w:hAnsi="MiSans Normal"/>
                <w:sz w:val="20"/>
                <w:szCs w:val="20"/>
                <w:lang w:val="en-US"/>
              </w:rPr>
            </w:pPr>
          </w:p>
        </w:tc>
        <w:tc>
          <w:tcPr>
            <w:tcW w:w="1134" w:type="dxa"/>
            <w:tcBorders>
              <w:top w:val="single" w:sz="4" w:space="0" w:color="auto"/>
              <w:bottom w:val="double" w:sz="4" w:space="0" w:color="auto"/>
            </w:tcBorders>
          </w:tcPr>
          <w:p w14:paraId="0D5B24D3" w14:textId="6914373B" w:rsidR="00B14810" w:rsidRPr="00B14810" w:rsidRDefault="00B14810" w:rsidP="00B14810">
            <w:pPr>
              <w:spacing w:line="276" w:lineRule="auto"/>
              <w:jc w:val="center"/>
              <w:rPr>
                <w:rFonts w:ascii="MiSans Normal" w:eastAsia="MiSans Normal" w:hAnsi="MiSans Normal"/>
                <w:sz w:val="20"/>
                <w:szCs w:val="20"/>
                <w:lang w:val="en-US"/>
              </w:rPr>
            </w:pPr>
            <w:r>
              <w:rPr>
                <w:rFonts w:ascii="MiSans Normal" w:eastAsia="MiSans Normal" w:hAnsi="MiSans Normal"/>
                <w:sz w:val="20"/>
                <w:szCs w:val="20"/>
                <w:lang w:val="en-US"/>
              </w:rPr>
              <w:t>2.00</w:t>
            </w:r>
          </w:p>
        </w:tc>
      </w:tr>
    </w:tbl>
    <w:p w14:paraId="07954941" w14:textId="77777777" w:rsidR="00E970C7" w:rsidRDefault="00E970C7" w:rsidP="00B14810">
      <w:pPr>
        <w:spacing w:after="240" w:line="276" w:lineRule="auto"/>
        <w:jc w:val="both"/>
        <w:rPr>
          <w:rFonts w:ascii="MiSans Normal" w:eastAsia="MiSans Normal" w:hAnsi="MiSans Normal"/>
          <w:sz w:val="20"/>
          <w:szCs w:val="20"/>
          <w:lang w:val="en-US"/>
        </w:rPr>
      </w:pPr>
    </w:p>
    <w:p w14:paraId="442E1B6F" w14:textId="5C21610E" w:rsidR="00B14810" w:rsidRDefault="00B14810" w:rsidP="00B14810">
      <w:pPr>
        <w:spacing w:after="240" w:line="276" w:lineRule="auto"/>
        <w:jc w:val="both"/>
        <w:rPr>
          <w:rFonts w:ascii="MiSans Normal" w:eastAsia="MiSans Normal" w:hAnsi="MiSans Normal"/>
          <w:sz w:val="20"/>
          <w:szCs w:val="20"/>
          <w:lang w:val="en-US"/>
        </w:rPr>
      </w:pPr>
      <w:r>
        <w:rPr>
          <w:rFonts w:ascii="MiSans Normal" w:eastAsia="MiSans Normal" w:hAnsi="MiSans Normal"/>
          <w:sz w:val="20"/>
          <w:szCs w:val="20"/>
          <w:lang w:val="en-US"/>
        </w:rPr>
        <w:t>The applications were closed on 8 September Year 2. On that day, applications for 600,000 shares had been received and were dealt with as follows:</w:t>
      </w:r>
    </w:p>
    <w:p w14:paraId="3E1EBC65" w14:textId="34F45C26" w:rsidR="00B14810" w:rsidRDefault="00B14810" w:rsidP="00B14810">
      <w:pPr>
        <w:pStyle w:val="ListParagraph"/>
        <w:numPr>
          <w:ilvl w:val="0"/>
          <w:numId w:val="2"/>
        </w:numPr>
        <w:spacing w:after="240" w:line="276" w:lineRule="auto"/>
        <w:ind w:left="567" w:hanging="567"/>
        <w:jc w:val="both"/>
        <w:rPr>
          <w:rFonts w:ascii="MiSans Normal" w:eastAsia="MiSans Normal" w:hAnsi="MiSans Normal"/>
          <w:sz w:val="20"/>
          <w:szCs w:val="20"/>
          <w:lang w:val="en-US"/>
        </w:rPr>
      </w:pPr>
      <w:r>
        <w:rPr>
          <w:rFonts w:ascii="MiSans Normal" w:eastAsia="MiSans Normal" w:hAnsi="MiSans Normal"/>
          <w:sz w:val="20"/>
          <w:szCs w:val="20"/>
          <w:lang w:val="en-US"/>
        </w:rPr>
        <w:t>To allot the shares to the applicants for the first 400,000 shares pro rata to their original applications, and the balance of application monies was applied to the amount due on allotment;</w:t>
      </w:r>
    </w:p>
    <w:p w14:paraId="519CC2FE" w14:textId="5773F876" w:rsidR="00B14810" w:rsidRDefault="00B14810" w:rsidP="00B14810">
      <w:pPr>
        <w:pStyle w:val="ListParagraph"/>
        <w:numPr>
          <w:ilvl w:val="0"/>
          <w:numId w:val="2"/>
        </w:numPr>
        <w:spacing w:after="240" w:line="276" w:lineRule="auto"/>
        <w:ind w:left="567" w:hanging="567"/>
        <w:jc w:val="both"/>
        <w:rPr>
          <w:rFonts w:ascii="MiSans Normal" w:eastAsia="MiSans Normal" w:hAnsi="MiSans Normal"/>
          <w:sz w:val="20"/>
          <w:szCs w:val="20"/>
          <w:lang w:val="en-US"/>
        </w:rPr>
      </w:pPr>
      <w:r>
        <w:rPr>
          <w:rFonts w:ascii="MiSans Normal" w:eastAsia="MiSans Normal" w:hAnsi="MiSans Normal"/>
          <w:sz w:val="20"/>
          <w:szCs w:val="20"/>
          <w:lang w:val="en-US"/>
        </w:rPr>
        <w:t>The cash paid by unsuccessful applicants was returned to them at the date of allotment.</w:t>
      </w:r>
    </w:p>
    <w:p w14:paraId="29A4B675" w14:textId="37BADAA6" w:rsidR="00B14810" w:rsidRDefault="00B14810" w:rsidP="00B14810">
      <w:pPr>
        <w:spacing w:after="240" w:line="276" w:lineRule="auto"/>
        <w:jc w:val="both"/>
        <w:rPr>
          <w:rFonts w:ascii="MiSans Normal" w:eastAsia="MiSans Normal" w:hAnsi="MiSans Normal"/>
          <w:sz w:val="20"/>
          <w:szCs w:val="20"/>
          <w:lang w:val="en-US"/>
        </w:rPr>
      </w:pPr>
      <w:r>
        <w:rPr>
          <w:rFonts w:ascii="MiSans Normal" w:eastAsia="MiSans Normal" w:hAnsi="MiSans Normal"/>
          <w:sz w:val="20"/>
          <w:szCs w:val="20"/>
          <w:lang w:val="en-US"/>
        </w:rPr>
        <w:t>The balance of allotment monies was received on 30 September Year 2. The remaining requested instalments were all paid in full.</w:t>
      </w:r>
    </w:p>
    <w:p w14:paraId="3AAD9207" w14:textId="21C2CF47" w:rsidR="00C123F4" w:rsidRDefault="00B14810" w:rsidP="00B14810">
      <w:pPr>
        <w:spacing w:after="240" w:line="276" w:lineRule="auto"/>
        <w:jc w:val="both"/>
        <w:rPr>
          <w:rFonts w:ascii="MiSans Normal" w:eastAsia="MiSans Normal" w:hAnsi="MiSans Normal"/>
          <w:sz w:val="20"/>
          <w:szCs w:val="20"/>
          <w:lang w:val="en-US"/>
        </w:rPr>
      </w:pPr>
      <w:r w:rsidRPr="00D45A9E">
        <w:rPr>
          <w:rFonts w:ascii="MiSans Normal" w:eastAsia="MiSans Normal" w:hAnsi="MiSans Normal"/>
          <w:b/>
          <w:bCs/>
          <w:sz w:val="20"/>
          <w:szCs w:val="20"/>
          <w:lang w:val="en-US"/>
        </w:rPr>
        <w:t>You are required to prepare</w:t>
      </w:r>
      <w:r w:rsidR="00C123F4">
        <w:rPr>
          <w:rFonts w:ascii="MiSans Normal" w:eastAsia="MiSans Normal" w:hAnsi="MiSans Normal"/>
          <w:sz w:val="20"/>
          <w:szCs w:val="20"/>
          <w:lang w:val="en-US"/>
        </w:rPr>
        <w:t>:</w:t>
      </w:r>
    </w:p>
    <w:p w14:paraId="11A38B02" w14:textId="4E8F786B" w:rsidR="00C123F4" w:rsidRDefault="00C123F4" w:rsidP="00C123F4">
      <w:pPr>
        <w:pStyle w:val="ListParagraph"/>
        <w:numPr>
          <w:ilvl w:val="0"/>
          <w:numId w:val="3"/>
        </w:numPr>
        <w:spacing w:after="240" w:line="276" w:lineRule="auto"/>
        <w:jc w:val="both"/>
        <w:rPr>
          <w:rFonts w:ascii="MiSans Normal" w:eastAsia="MiSans Normal" w:hAnsi="MiSans Normal"/>
          <w:sz w:val="20"/>
          <w:szCs w:val="20"/>
          <w:lang w:val="en-US"/>
        </w:rPr>
      </w:pPr>
      <w:r>
        <w:rPr>
          <w:rFonts w:ascii="MiSans Normal" w:eastAsia="MiSans Normal" w:hAnsi="MiSans Normal"/>
          <w:sz w:val="20"/>
          <w:szCs w:val="20"/>
          <w:lang w:val="en-US"/>
        </w:rPr>
        <w:t>journal entries in the books of Big Glove Bhd;</w:t>
      </w:r>
    </w:p>
    <w:p w14:paraId="0BB4606C" w14:textId="11E4EB72" w:rsidR="00B14810" w:rsidRPr="00C123F4" w:rsidRDefault="00B14810" w:rsidP="00C123F4">
      <w:pPr>
        <w:pStyle w:val="ListParagraph"/>
        <w:numPr>
          <w:ilvl w:val="0"/>
          <w:numId w:val="3"/>
        </w:numPr>
        <w:spacing w:after="240" w:line="276" w:lineRule="auto"/>
        <w:jc w:val="both"/>
        <w:rPr>
          <w:rFonts w:ascii="MiSans Normal" w:eastAsia="MiSans Normal" w:hAnsi="MiSans Normal"/>
          <w:sz w:val="20"/>
          <w:szCs w:val="20"/>
          <w:lang w:val="en-US"/>
        </w:rPr>
      </w:pPr>
      <w:r w:rsidRPr="00C123F4">
        <w:rPr>
          <w:rFonts w:ascii="MiSans Normal" w:eastAsia="MiSans Normal" w:hAnsi="MiSans Normal"/>
          <w:sz w:val="20"/>
          <w:szCs w:val="20"/>
          <w:lang w:val="en-US"/>
        </w:rPr>
        <w:t xml:space="preserve">the following </w:t>
      </w:r>
      <w:r w:rsidR="00C123F4">
        <w:rPr>
          <w:rFonts w:ascii="MiSans Normal" w:eastAsia="MiSans Normal" w:hAnsi="MiSans Normal"/>
          <w:sz w:val="20"/>
          <w:szCs w:val="20"/>
          <w:lang w:val="en-US"/>
        </w:rPr>
        <w:t xml:space="preserve">ledger </w:t>
      </w:r>
      <w:r w:rsidRPr="00C123F4">
        <w:rPr>
          <w:rFonts w:ascii="MiSans Normal" w:eastAsia="MiSans Normal" w:hAnsi="MiSans Normal"/>
          <w:sz w:val="20"/>
          <w:szCs w:val="20"/>
          <w:lang w:val="en-US"/>
        </w:rPr>
        <w:t>accounts in the books of Big Glo</w:t>
      </w:r>
      <w:r w:rsidR="00C123F4">
        <w:rPr>
          <w:rFonts w:ascii="MiSans Normal" w:eastAsia="MiSans Normal" w:hAnsi="MiSans Normal"/>
          <w:sz w:val="20"/>
          <w:szCs w:val="20"/>
          <w:lang w:val="en-US"/>
        </w:rPr>
        <w:t>v</w:t>
      </w:r>
      <w:r w:rsidRPr="00C123F4">
        <w:rPr>
          <w:rFonts w:ascii="MiSans Normal" w:eastAsia="MiSans Normal" w:hAnsi="MiSans Normal"/>
          <w:sz w:val="20"/>
          <w:szCs w:val="20"/>
          <w:lang w:val="en-US"/>
        </w:rPr>
        <w:t>e Bhd:</w:t>
      </w:r>
    </w:p>
    <w:p w14:paraId="0FEF796F" w14:textId="5B432379" w:rsidR="00B14810" w:rsidRDefault="00B14810" w:rsidP="00C123F4">
      <w:pPr>
        <w:pStyle w:val="ListParagraph"/>
        <w:numPr>
          <w:ilvl w:val="1"/>
          <w:numId w:val="4"/>
        </w:numPr>
        <w:spacing w:after="240" w:line="276" w:lineRule="auto"/>
        <w:ind w:left="709"/>
        <w:jc w:val="both"/>
        <w:rPr>
          <w:rFonts w:ascii="MiSans Normal" w:eastAsia="MiSans Normal" w:hAnsi="MiSans Normal"/>
          <w:sz w:val="20"/>
          <w:szCs w:val="20"/>
          <w:lang w:val="en-US"/>
        </w:rPr>
      </w:pPr>
      <w:r>
        <w:rPr>
          <w:rFonts w:ascii="MiSans Normal" w:eastAsia="MiSans Normal" w:hAnsi="MiSans Normal"/>
          <w:sz w:val="20"/>
          <w:szCs w:val="20"/>
          <w:lang w:val="en-US"/>
        </w:rPr>
        <w:t>Applications and Allotment;</w:t>
      </w:r>
    </w:p>
    <w:p w14:paraId="65AEDD19" w14:textId="2EC8F548" w:rsidR="00B14810" w:rsidRDefault="00B14810" w:rsidP="00C123F4">
      <w:pPr>
        <w:pStyle w:val="ListParagraph"/>
        <w:numPr>
          <w:ilvl w:val="1"/>
          <w:numId w:val="4"/>
        </w:numPr>
        <w:spacing w:after="240" w:line="276" w:lineRule="auto"/>
        <w:ind w:left="709"/>
        <w:jc w:val="both"/>
        <w:rPr>
          <w:rFonts w:ascii="MiSans Normal" w:eastAsia="MiSans Normal" w:hAnsi="MiSans Normal"/>
          <w:sz w:val="20"/>
          <w:szCs w:val="20"/>
          <w:lang w:val="en-US"/>
        </w:rPr>
      </w:pPr>
      <w:r>
        <w:rPr>
          <w:rFonts w:ascii="MiSans Normal" w:eastAsia="MiSans Normal" w:hAnsi="MiSans Normal"/>
          <w:sz w:val="20"/>
          <w:szCs w:val="20"/>
          <w:lang w:val="en-US"/>
        </w:rPr>
        <w:t>First Call;</w:t>
      </w:r>
    </w:p>
    <w:p w14:paraId="57E1251A" w14:textId="6D080205" w:rsidR="00B14810" w:rsidRDefault="00B14810" w:rsidP="00C123F4">
      <w:pPr>
        <w:pStyle w:val="ListParagraph"/>
        <w:numPr>
          <w:ilvl w:val="1"/>
          <w:numId w:val="4"/>
        </w:numPr>
        <w:spacing w:after="240" w:line="276" w:lineRule="auto"/>
        <w:ind w:left="709"/>
        <w:jc w:val="both"/>
        <w:rPr>
          <w:rFonts w:ascii="MiSans Normal" w:eastAsia="MiSans Normal" w:hAnsi="MiSans Normal"/>
          <w:sz w:val="20"/>
          <w:szCs w:val="20"/>
          <w:lang w:val="en-US"/>
        </w:rPr>
      </w:pPr>
      <w:r>
        <w:rPr>
          <w:rFonts w:ascii="MiSans Normal" w:eastAsia="MiSans Normal" w:hAnsi="MiSans Normal"/>
          <w:sz w:val="20"/>
          <w:szCs w:val="20"/>
          <w:lang w:val="en-US"/>
        </w:rPr>
        <w:t>Second and Final Call;</w:t>
      </w:r>
    </w:p>
    <w:p w14:paraId="7A72B907" w14:textId="1DFFAC01" w:rsidR="00B14810" w:rsidRDefault="00B14810" w:rsidP="00C123F4">
      <w:pPr>
        <w:pStyle w:val="ListParagraph"/>
        <w:numPr>
          <w:ilvl w:val="1"/>
          <w:numId w:val="4"/>
        </w:numPr>
        <w:spacing w:after="240" w:line="276" w:lineRule="auto"/>
        <w:ind w:left="709"/>
        <w:jc w:val="both"/>
        <w:rPr>
          <w:rFonts w:ascii="MiSans Normal" w:eastAsia="MiSans Normal" w:hAnsi="MiSans Normal"/>
          <w:sz w:val="20"/>
          <w:szCs w:val="20"/>
          <w:lang w:val="en-US"/>
        </w:rPr>
      </w:pPr>
      <w:r>
        <w:rPr>
          <w:rFonts w:ascii="MiSans Normal" w:eastAsia="MiSans Normal" w:hAnsi="MiSans Normal"/>
          <w:sz w:val="20"/>
          <w:szCs w:val="20"/>
          <w:lang w:val="en-US"/>
        </w:rPr>
        <w:t>Bank;</w:t>
      </w:r>
    </w:p>
    <w:p w14:paraId="7B5D640D" w14:textId="59BFAEF1" w:rsidR="00B14810" w:rsidRDefault="00B14810" w:rsidP="00C123F4">
      <w:pPr>
        <w:pStyle w:val="ListParagraph"/>
        <w:numPr>
          <w:ilvl w:val="1"/>
          <w:numId w:val="4"/>
        </w:numPr>
        <w:spacing w:after="240" w:line="276" w:lineRule="auto"/>
        <w:ind w:left="709"/>
        <w:jc w:val="both"/>
        <w:rPr>
          <w:rFonts w:ascii="MiSans Normal" w:eastAsia="MiSans Normal" w:hAnsi="MiSans Normal"/>
          <w:sz w:val="20"/>
          <w:szCs w:val="20"/>
          <w:lang w:val="en-US"/>
        </w:rPr>
      </w:pPr>
      <w:r>
        <w:rPr>
          <w:rFonts w:ascii="MiSans Normal" w:eastAsia="MiSans Normal" w:hAnsi="MiSans Normal"/>
          <w:sz w:val="20"/>
          <w:szCs w:val="20"/>
          <w:lang w:val="en-US"/>
        </w:rPr>
        <w:t>Ordinary Share Capital;</w:t>
      </w:r>
    </w:p>
    <w:p w14:paraId="1418BAE6" w14:textId="4AC1CFBB" w:rsidR="00C123F4" w:rsidRPr="00C123F4" w:rsidRDefault="00B14810" w:rsidP="00C123F4">
      <w:pPr>
        <w:pStyle w:val="ListParagraph"/>
        <w:numPr>
          <w:ilvl w:val="1"/>
          <w:numId w:val="4"/>
        </w:numPr>
        <w:spacing w:after="240" w:line="276" w:lineRule="auto"/>
        <w:ind w:left="709"/>
        <w:jc w:val="both"/>
        <w:rPr>
          <w:rFonts w:ascii="MiSans Normal" w:eastAsia="MiSans Normal" w:hAnsi="MiSans Normal"/>
          <w:sz w:val="20"/>
          <w:szCs w:val="20"/>
          <w:lang w:val="en-US"/>
        </w:rPr>
      </w:pPr>
      <w:r>
        <w:rPr>
          <w:rFonts w:ascii="MiSans Normal" w:eastAsia="MiSans Normal" w:hAnsi="MiSans Normal"/>
          <w:sz w:val="20"/>
          <w:szCs w:val="20"/>
          <w:lang w:val="en-US"/>
        </w:rPr>
        <w:t>Share Pre</w:t>
      </w:r>
      <w:r w:rsidR="004934BF">
        <w:rPr>
          <w:rFonts w:ascii="MiSans Normal" w:eastAsia="MiSans Normal" w:hAnsi="MiSans Normal"/>
          <w:sz w:val="20"/>
          <w:szCs w:val="20"/>
          <w:lang w:val="en-US"/>
        </w:rPr>
        <w:t>m</w:t>
      </w:r>
      <w:r>
        <w:rPr>
          <w:rFonts w:ascii="MiSans Normal" w:eastAsia="MiSans Normal" w:hAnsi="MiSans Normal"/>
          <w:sz w:val="20"/>
          <w:szCs w:val="20"/>
          <w:lang w:val="en-US"/>
        </w:rPr>
        <w:t>ium.</w:t>
      </w:r>
    </w:p>
    <w:sectPr w:rsidR="00C123F4" w:rsidRPr="00C12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Sans Normal">
    <w:panose1 w:val="00000500000000000000"/>
    <w:charset w:val="86"/>
    <w:family w:val="auto"/>
    <w:pitch w:val="variable"/>
    <w:sig w:usb0="80000287" w:usb1="080F1811" w:usb2="00000016" w:usb3="00000000" w:csb0="0004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54E38"/>
    <w:multiLevelType w:val="hybridMultilevel"/>
    <w:tmpl w:val="200A73E6"/>
    <w:lvl w:ilvl="0" w:tplc="C0260242">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23A48C8"/>
    <w:multiLevelType w:val="hybridMultilevel"/>
    <w:tmpl w:val="E79AC1A4"/>
    <w:lvl w:ilvl="0" w:tplc="893651A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036549"/>
    <w:multiLevelType w:val="hybridMultilevel"/>
    <w:tmpl w:val="5524D0DA"/>
    <w:lvl w:ilvl="0" w:tplc="7DCEC754">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D0E2EB6"/>
    <w:multiLevelType w:val="hybridMultilevel"/>
    <w:tmpl w:val="F8F0ADD6"/>
    <w:lvl w:ilvl="0" w:tplc="FFFFFFFF">
      <w:start w:val="1"/>
      <w:numFmt w:val="lowerLetter"/>
      <w:lvlText w:val="(%1)"/>
      <w:lvlJc w:val="left"/>
      <w:pPr>
        <w:ind w:left="360" w:hanging="360"/>
      </w:pPr>
      <w:rPr>
        <w:rFonts w:hint="default"/>
      </w:rPr>
    </w:lvl>
    <w:lvl w:ilvl="1" w:tplc="BB367DDA">
      <w:start w:val="1"/>
      <w:numFmt w:val="lowerRoman"/>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92977917">
    <w:abstractNumId w:val="1"/>
  </w:num>
  <w:num w:numId="2" w16cid:durableId="1984697660">
    <w:abstractNumId w:val="0"/>
  </w:num>
  <w:num w:numId="3" w16cid:durableId="1908152432">
    <w:abstractNumId w:val="2"/>
  </w:num>
  <w:num w:numId="4" w16cid:durableId="1077289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810"/>
    <w:rsid w:val="00140178"/>
    <w:rsid w:val="004934BF"/>
    <w:rsid w:val="008C02CC"/>
    <w:rsid w:val="00A921C9"/>
    <w:rsid w:val="00B14810"/>
    <w:rsid w:val="00C123F4"/>
    <w:rsid w:val="00D45A9E"/>
    <w:rsid w:val="00E970C7"/>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2E86C9"/>
  <w15:chartTrackingRefBased/>
  <w15:docId w15:val="{62C0CB0F-67AA-2A46-8C9E-5A076A54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8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810"/>
    <w:pPr>
      <w:ind w:left="720"/>
      <w:contextualSpacing/>
    </w:pPr>
  </w:style>
  <w:style w:type="table" w:styleId="TableGrid">
    <w:name w:val="Table Grid"/>
    <w:basedOn w:val="TableNormal"/>
    <w:uiPriority w:val="39"/>
    <w:rsid w:val="00B14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5</cp:revision>
  <dcterms:created xsi:type="dcterms:W3CDTF">2023-07-05T14:41:00Z</dcterms:created>
  <dcterms:modified xsi:type="dcterms:W3CDTF">2023-07-05T14:49:00Z</dcterms:modified>
</cp:coreProperties>
</file>