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D508" w14:textId="12813EC3" w:rsidR="002F2A2F" w:rsidRPr="002F2A2F" w:rsidRDefault="002F2A2F" w:rsidP="002F2A2F">
      <w:pPr>
        <w:spacing w:line="276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2F2A2F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Unified Exam Bookkeeping and Accounts Past Year Papers Collection</w:t>
      </w:r>
      <w:r w:rsidRPr="002F2A2F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2F2A2F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- Year</w:t>
      </w:r>
      <w:r w:rsidRPr="002F2A2F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2F2A2F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20</w:t>
      </w:r>
      <w:r w:rsidR="0072167E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04</w:t>
      </w:r>
      <w:r w:rsidRPr="002F2A2F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 xml:space="preserve"> Question </w:t>
      </w:r>
      <w:r w:rsidR="0072167E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5</w:t>
      </w:r>
    </w:p>
    <w:p w14:paraId="3E64FFA9" w14:textId="77777777" w:rsidR="002F2A2F" w:rsidRPr="002F2A2F" w:rsidRDefault="002F2A2F" w:rsidP="002F2A2F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80116C3" w14:textId="02EC4D7A" w:rsidR="008C02CC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 xml:space="preserve">He Fa Bhd has an authorized share capital of RM 4,500,000 consisting of 1,500,000 ordinary shares of RM 3 each. The issued share capital on 31 December 2003 was RM 1,500,000 which had been issued at par and was fully paid. The bank balance as </w:t>
      </w:r>
      <w:proofErr w:type="gramStart"/>
      <w:r w:rsidRPr="002F2A2F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Pr="002F2A2F">
        <w:rPr>
          <w:rFonts w:ascii="Times New Roman" w:hAnsi="Times New Roman" w:cs="Times New Roman"/>
          <w:sz w:val="22"/>
          <w:szCs w:val="22"/>
          <w:lang w:val="en-US"/>
        </w:rPr>
        <w:t xml:space="preserve"> 31 December 2003 was RM 1,500,000.</w:t>
      </w:r>
    </w:p>
    <w:p w14:paraId="66BFE423" w14:textId="77777777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22D30B1" w14:textId="60FCE3D5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On 1 January 2003, the company further issued 500,000 of its RM 3 ordinary shares at the price of RM 5 per share. Payments were made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242"/>
        <w:gridCol w:w="1786"/>
      </w:tblGrid>
      <w:tr w:rsidR="00DB0F80" w:rsidRPr="002F2A2F" w14:paraId="671A2BA8" w14:textId="77777777" w:rsidTr="00DB0F80">
        <w:tc>
          <w:tcPr>
            <w:tcW w:w="988" w:type="dxa"/>
          </w:tcPr>
          <w:p w14:paraId="756D331E" w14:textId="77777777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42" w:type="dxa"/>
          </w:tcPr>
          <w:p w14:paraId="5FFCF7C3" w14:textId="77777777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6" w:type="dxa"/>
          </w:tcPr>
          <w:p w14:paraId="794F025A" w14:textId="7ECED637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 Share</w:t>
            </w:r>
          </w:p>
        </w:tc>
      </w:tr>
      <w:tr w:rsidR="00DB0F80" w:rsidRPr="002F2A2F" w14:paraId="5BB56991" w14:textId="77777777" w:rsidTr="00DB0F80">
        <w:tc>
          <w:tcPr>
            <w:tcW w:w="988" w:type="dxa"/>
          </w:tcPr>
          <w:p w14:paraId="7209BAB3" w14:textId="77777777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6242" w:type="dxa"/>
          </w:tcPr>
          <w:p w14:paraId="217BD93B" w14:textId="77777777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6" w:type="dxa"/>
          </w:tcPr>
          <w:p w14:paraId="7A4C49BA" w14:textId="06B9D061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RM</w:t>
            </w:r>
          </w:p>
        </w:tc>
      </w:tr>
      <w:tr w:rsidR="00DB0F80" w:rsidRPr="002F2A2F" w14:paraId="6FFF5A55" w14:textId="77777777" w:rsidTr="00DB0F80">
        <w:tc>
          <w:tcPr>
            <w:tcW w:w="988" w:type="dxa"/>
          </w:tcPr>
          <w:p w14:paraId="599FC966" w14:textId="2B0AEC9C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2004</w:t>
            </w:r>
          </w:p>
        </w:tc>
        <w:tc>
          <w:tcPr>
            <w:tcW w:w="6242" w:type="dxa"/>
          </w:tcPr>
          <w:p w14:paraId="45A3774C" w14:textId="77777777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6" w:type="dxa"/>
          </w:tcPr>
          <w:p w14:paraId="61FE3335" w14:textId="2749648F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B0F80" w:rsidRPr="002F2A2F" w14:paraId="32DF0C60" w14:textId="77777777" w:rsidTr="00DB0F80">
        <w:tc>
          <w:tcPr>
            <w:tcW w:w="988" w:type="dxa"/>
          </w:tcPr>
          <w:p w14:paraId="3239662A" w14:textId="4B0CD9AE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Jan  01</w:t>
            </w:r>
          </w:p>
        </w:tc>
        <w:tc>
          <w:tcPr>
            <w:tcW w:w="6242" w:type="dxa"/>
          </w:tcPr>
          <w:p w14:paraId="33108FB9" w14:textId="3B56A565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On application</w:t>
            </w:r>
          </w:p>
        </w:tc>
        <w:tc>
          <w:tcPr>
            <w:tcW w:w="1786" w:type="dxa"/>
          </w:tcPr>
          <w:p w14:paraId="5F1139B0" w14:textId="4DBAD9F7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DB0F80" w:rsidRPr="002F2A2F" w14:paraId="37D81D95" w14:textId="77777777" w:rsidTr="00DB0F80">
        <w:tc>
          <w:tcPr>
            <w:tcW w:w="988" w:type="dxa"/>
          </w:tcPr>
          <w:p w14:paraId="31EA86E2" w14:textId="4707B6A9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Jan  20</w:t>
            </w:r>
          </w:p>
        </w:tc>
        <w:tc>
          <w:tcPr>
            <w:tcW w:w="6242" w:type="dxa"/>
          </w:tcPr>
          <w:p w14:paraId="00DB0FEA" w14:textId="37B2145E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On allotment (including the premium of RM 2 per share)</w:t>
            </w:r>
          </w:p>
        </w:tc>
        <w:tc>
          <w:tcPr>
            <w:tcW w:w="1786" w:type="dxa"/>
          </w:tcPr>
          <w:p w14:paraId="0D4554EF" w14:textId="2A902889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00DB0F80" w:rsidRPr="002F2A2F" w14:paraId="500186C4" w14:textId="77777777" w:rsidTr="00DB0F80">
        <w:tc>
          <w:tcPr>
            <w:tcW w:w="988" w:type="dxa"/>
          </w:tcPr>
          <w:p w14:paraId="78F39EEA" w14:textId="635E8CD2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Feb 10</w:t>
            </w:r>
          </w:p>
        </w:tc>
        <w:tc>
          <w:tcPr>
            <w:tcW w:w="6242" w:type="dxa"/>
          </w:tcPr>
          <w:p w14:paraId="2AD9D3C1" w14:textId="1207BBC3" w:rsidR="00DB0F80" w:rsidRPr="002F2A2F" w:rsidRDefault="00DB0F80" w:rsidP="002F2A2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On first and final call</w:t>
            </w:r>
          </w:p>
        </w:tc>
        <w:tc>
          <w:tcPr>
            <w:tcW w:w="1786" w:type="dxa"/>
          </w:tcPr>
          <w:p w14:paraId="35246348" w14:textId="776FCE2F" w:rsidR="00DB0F80" w:rsidRPr="002F2A2F" w:rsidRDefault="00DB0F80" w:rsidP="002F2A2F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F2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</w:tbl>
    <w:p w14:paraId="08EFA2AB" w14:textId="77777777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AE3C060" w14:textId="6EF8CDE9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Applications had been received for 850,000 shares and it was decided to deal with these as follows:</w:t>
      </w:r>
    </w:p>
    <w:p w14:paraId="58181AA3" w14:textId="1C92A9AF" w:rsidR="00DB0F80" w:rsidRPr="002F2A2F" w:rsidRDefault="00DB0F80" w:rsidP="002F2A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To return cheques to applicants for 50,000 shares;</w:t>
      </w:r>
    </w:p>
    <w:p w14:paraId="1049007D" w14:textId="5E47C755" w:rsidR="00DB0F80" w:rsidRPr="002F2A2F" w:rsidRDefault="00DB0F80" w:rsidP="002F2A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To give full allotment to applicants for 200,000 shares;</w:t>
      </w:r>
    </w:p>
    <w:p w14:paraId="3F6545D7" w14:textId="1B3E4AA1" w:rsidR="00DB0F80" w:rsidRPr="002F2A2F" w:rsidRDefault="00DB0F80" w:rsidP="002F2A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 xml:space="preserve">To allot the remainder of the available </w:t>
      </w:r>
      <w:proofErr w:type="gramStart"/>
      <w:r w:rsidRPr="002F2A2F">
        <w:rPr>
          <w:rFonts w:ascii="Times New Roman" w:hAnsi="Times New Roman" w:cs="Times New Roman"/>
          <w:sz w:val="22"/>
          <w:szCs w:val="22"/>
          <w:lang w:val="en-US"/>
        </w:rPr>
        <w:t>shares</w:t>
      </w:r>
      <w:proofErr w:type="gramEnd"/>
      <w:r w:rsidRPr="002F2A2F">
        <w:rPr>
          <w:rFonts w:ascii="Times New Roman" w:hAnsi="Times New Roman" w:cs="Times New Roman"/>
          <w:sz w:val="22"/>
          <w:szCs w:val="22"/>
          <w:lang w:val="en-US"/>
        </w:rPr>
        <w:t xml:space="preserve"> pro rata among the other applicants;</w:t>
      </w:r>
    </w:p>
    <w:p w14:paraId="09C9E43A" w14:textId="29F69177" w:rsidR="00DB0F80" w:rsidRPr="002F2A2F" w:rsidRDefault="00DB0F80" w:rsidP="002F2A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The excess application monies sent by the successful applicants were not to be refunded but to be used as part payment of amounts due on allotment.</w:t>
      </w:r>
    </w:p>
    <w:p w14:paraId="2B6FABC2" w14:textId="77777777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F9668F5" w14:textId="25D3FB49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An applicant, to whom 1,000 shares had been allotted, failed to pay the amount due on the first and final call.</w:t>
      </w:r>
    </w:p>
    <w:p w14:paraId="70A5B0AE" w14:textId="77777777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A7E0760" w14:textId="04D43F5E" w:rsidR="00DB0F80" w:rsidRPr="002F2A2F" w:rsidRDefault="00DB0F80" w:rsidP="002F2A2F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b/>
          <w:bCs/>
          <w:sz w:val="22"/>
          <w:szCs w:val="22"/>
          <w:lang w:val="en-US"/>
        </w:rPr>
        <w:t>You are require</w:t>
      </w:r>
      <w:r w:rsidR="001B3E3C">
        <w:rPr>
          <w:rFonts w:ascii="Times New Roman" w:hAnsi="Times New Roman" w:cs="Times New Roman"/>
          <w:b/>
          <w:bCs/>
          <w:sz w:val="22"/>
          <w:szCs w:val="22"/>
          <w:lang w:val="en-US"/>
        </w:rPr>
        <w:t>d</w:t>
      </w:r>
      <w:r w:rsidRPr="002F2A2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to:</w:t>
      </w:r>
    </w:p>
    <w:p w14:paraId="2F957551" w14:textId="0997D376" w:rsidR="00DB0F80" w:rsidRPr="002F2A2F" w:rsidRDefault="00DB0F80" w:rsidP="002F2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record the above transactions for the year 2004 in the ledger of He Fa Bhd, balancing each account:</w:t>
      </w:r>
    </w:p>
    <w:p w14:paraId="013B82B5" w14:textId="7043B5A6" w:rsidR="00DB0F80" w:rsidRPr="002F2A2F" w:rsidRDefault="00DB0F80" w:rsidP="002F2A2F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Bank Account;</w:t>
      </w:r>
    </w:p>
    <w:p w14:paraId="44C74025" w14:textId="1FD2F87A" w:rsidR="00DB0F80" w:rsidRPr="002F2A2F" w:rsidRDefault="00DB0F80" w:rsidP="002F2A2F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Application and Allotment Account;</w:t>
      </w:r>
    </w:p>
    <w:p w14:paraId="564E350E" w14:textId="331A9276" w:rsidR="00DB0F80" w:rsidRPr="002F2A2F" w:rsidRDefault="00DB0F80" w:rsidP="002F2A2F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First and Final Call Account;</w:t>
      </w:r>
    </w:p>
    <w:p w14:paraId="29B13472" w14:textId="4521AE3D" w:rsidR="00DB0F80" w:rsidRPr="002F2A2F" w:rsidRDefault="00DB0F80" w:rsidP="002F2A2F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Ordinary Share Capital Account;</w:t>
      </w:r>
    </w:p>
    <w:p w14:paraId="2CBCB4A4" w14:textId="52428C40" w:rsidR="00DB0F80" w:rsidRPr="002F2A2F" w:rsidRDefault="00DB0F80" w:rsidP="002F2A2F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Share Premium Account;</w:t>
      </w:r>
    </w:p>
    <w:p w14:paraId="74CCA3AD" w14:textId="6DDC6EC6" w:rsidR="00DB0F80" w:rsidRPr="002F2A2F" w:rsidRDefault="00DB0F80" w:rsidP="002F2A2F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>Call in Arrears Account.</w:t>
      </w:r>
    </w:p>
    <w:p w14:paraId="3954CFBE" w14:textId="29BC4E98" w:rsidR="00DB0F80" w:rsidRPr="002F2A2F" w:rsidRDefault="00DB0F80" w:rsidP="002F2A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F2A2F">
        <w:rPr>
          <w:rFonts w:ascii="Times New Roman" w:hAnsi="Times New Roman" w:cs="Times New Roman"/>
          <w:sz w:val="22"/>
          <w:szCs w:val="22"/>
          <w:lang w:val="en-US"/>
        </w:rPr>
        <w:t xml:space="preserve">Show the above accounts in the Balance Sheet of He Fa Bhd as </w:t>
      </w:r>
      <w:proofErr w:type="gramStart"/>
      <w:r w:rsidRPr="002F2A2F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Pr="002F2A2F">
        <w:rPr>
          <w:rFonts w:ascii="Times New Roman" w:hAnsi="Times New Roman" w:cs="Times New Roman"/>
          <w:sz w:val="22"/>
          <w:szCs w:val="22"/>
          <w:lang w:val="en-US"/>
        </w:rPr>
        <w:t xml:space="preserve"> 29 February 2004.</w:t>
      </w:r>
    </w:p>
    <w:sectPr w:rsidR="00DB0F80" w:rsidRPr="002F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CC9"/>
    <w:multiLevelType w:val="hybridMultilevel"/>
    <w:tmpl w:val="8A683DA4"/>
    <w:lvl w:ilvl="0" w:tplc="A38466C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DEB"/>
    <w:multiLevelType w:val="hybridMultilevel"/>
    <w:tmpl w:val="1F148E14"/>
    <w:lvl w:ilvl="0" w:tplc="B93601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8F2B50"/>
    <w:multiLevelType w:val="hybridMultilevel"/>
    <w:tmpl w:val="4816C5A8"/>
    <w:lvl w:ilvl="0" w:tplc="00C4D4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2431">
    <w:abstractNumId w:val="0"/>
  </w:num>
  <w:num w:numId="2" w16cid:durableId="1888100722">
    <w:abstractNumId w:val="1"/>
  </w:num>
  <w:num w:numId="3" w16cid:durableId="122738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0"/>
    <w:rsid w:val="00140178"/>
    <w:rsid w:val="001B3E3C"/>
    <w:rsid w:val="002F2A2F"/>
    <w:rsid w:val="0072167E"/>
    <w:rsid w:val="008C02CC"/>
    <w:rsid w:val="00A841FD"/>
    <w:rsid w:val="00A921C9"/>
    <w:rsid w:val="00DB0F8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CFD7"/>
  <w15:chartTrackingRefBased/>
  <w15:docId w15:val="{8A46A962-8924-EF41-B1D9-9DC00CA8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F80"/>
    <w:pPr>
      <w:ind w:left="720"/>
      <w:contextualSpacing/>
    </w:pPr>
  </w:style>
  <w:style w:type="character" w:customStyle="1" w:styleId="s2">
    <w:name w:val="s2"/>
    <w:basedOn w:val="DefaultParagraphFont"/>
    <w:rsid w:val="002F2A2F"/>
  </w:style>
  <w:style w:type="character" w:customStyle="1" w:styleId="apple-converted-space">
    <w:name w:val="apple-converted-space"/>
    <w:basedOn w:val="DefaultParagraphFont"/>
    <w:rsid w:val="002F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2023-07-16T21:49:00Z</cp:lastPrinted>
  <dcterms:created xsi:type="dcterms:W3CDTF">2023-07-16T21:33:00Z</dcterms:created>
  <dcterms:modified xsi:type="dcterms:W3CDTF">2023-07-16T21:51:00Z</dcterms:modified>
</cp:coreProperties>
</file>