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00A37" w14:textId="12F30650" w:rsidR="008C02CC" w:rsidRDefault="007B2293" w:rsidP="00A36CB6">
      <w:pPr>
        <w:spacing w:line="276" w:lineRule="auto"/>
        <w:rPr>
          <w:rFonts w:ascii="MiSans Normal" w:eastAsia="MiSans Normal" w:hAnsi="MiSans Normal"/>
          <w:b/>
          <w:bCs/>
          <w:sz w:val="20"/>
          <w:szCs w:val="20"/>
          <w:lang w:val="en-US"/>
        </w:rPr>
      </w:pPr>
      <w:r w:rsidRPr="007B2293">
        <w:rPr>
          <w:rFonts w:ascii="MiSans Normal" w:eastAsia="MiSans Normal" w:hAnsi="MiSans Normal"/>
          <w:b/>
          <w:bCs/>
          <w:sz w:val="20"/>
          <w:szCs w:val="20"/>
          <w:lang w:val="en-US"/>
        </w:rPr>
        <w:t>Practice 6</w:t>
      </w:r>
    </w:p>
    <w:p w14:paraId="5D8724BA" w14:textId="77777777" w:rsidR="007B2293" w:rsidRPr="00A36CB6" w:rsidRDefault="007B2293" w:rsidP="00A36CB6">
      <w:pPr>
        <w:spacing w:line="276" w:lineRule="auto"/>
        <w:rPr>
          <w:rFonts w:ascii="MiSans Normal" w:eastAsia="MiSans Normal" w:hAnsi="MiSans Normal"/>
          <w:b/>
          <w:bCs/>
          <w:sz w:val="10"/>
          <w:szCs w:val="10"/>
          <w:lang w:val="en-US"/>
        </w:rPr>
      </w:pPr>
    </w:p>
    <w:p w14:paraId="57E66B95" w14:textId="4FC94FB5" w:rsidR="007B2293" w:rsidRPr="007B2293" w:rsidRDefault="007B2293" w:rsidP="00A36CB6">
      <w:pPr>
        <w:spacing w:line="276" w:lineRule="auto"/>
        <w:rPr>
          <w:rFonts w:ascii="MiSans Normal" w:eastAsia="MiSans Normal" w:hAnsi="MiSans Normal"/>
          <w:sz w:val="10"/>
          <w:szCs w:val="10"/>
          <w:lang w:val="en-US"/>
        </w:rPr>
      </w:pPr>
      <w:r>
        <w:rPr>
          <w:rFonts w:ascii="MiSans Normal" w:eastAsia="MiSans Normal" w:hAnsi="MiSans Normal"/>
          <w:sz w:val="20"/>
          <w:szCs w:val="20"/>
          <w:lang w:val="en-US"/>
        </w:rPr>
        <w:t>Tee decided to retire from business from 31 December Year 5. His financial position as at that date was as follows:</w:t>
      </w:r>
      <w:r>
        <w:rPr>
          <w:rFonts w:ascii="MiSans Normal" w:eastAsia="MiSans Normal" w:hAnsi="MiSans Normal"/>
          <w:sz w:val="20"/>
          <w:szCs w:val="20"/>
          <w:lang w:val="en-US"/>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111"/>
        <w:gridCol w:w="3425"/>
        <w:gridCol w:w="1083"/>
      </w:tblGrid>
      <w:tr w:rsidR="007B2293" w14:paraId="582803A6" w14:textId="77777777" w:rsidTr="00DB00AA">
        <w:tc>
          <w:tcPr>
            <w:tcW w:w="3397" w:type="dxa"/>
            <w:tcBorders>
              <w:top w:val="single" w:sz="4" w:space="0" w:color="auto"/>
            </w:tcBorders>
          </w:tcPr>
          <w:p w14:paraId="3DBA22FF" w14:textId="77777777" w:rsidR="007B2293" w:rsidRDefault="007B2293" w:rsidP="00A36CB6">
            <w:pPr>
              <w:spacing w:line="276" w:lineRule="auto"/>
              <w:rPr>
                <w:rFonts w:ascii="MiSans Normal" w:eastAsia="MiSans Normal" w:hAnsi="MiSans Normal"/>
                <w:sz w:val="20"/>
                <w:szCs w:val="20"/>
                <w:lang w:val="en-US"/>
              </w:rPr>
            </w:pPr>
          </w:p>
        </w:tc>
        <w:tc>
          <w:tcPr>
            <w:tcW w:w="1111" w:type="dxa"/>
            <w:tcBorders>
              <w:top w:val="single" w:sz="4" w:space="0" w:color="auto"/>
              <w:right w:val="double" w:sz="4" w:space="0" w:color="auto"/>
            </w:tcBorders>
          </w:tcPr>
          <w:p w14:paraId="28DD71BF" w14:textId="77777777" w:rsidR="007B2293" w:rsidRPr="00A66720" w:rsidRDefault="007B2293" w:rsidP="00A36CB6">
            <w:pPr>
              <w:spacing w:line="276" w:lineRule="auto"/>
              <w:ind w:left="82" w:right="-160"/>
              <w:jc w:val="center"/>
              <w:rPr>
                <w:rFonts w:ascii="MiSans Normal" w:eastAsia="MiSans Normal" w:hAnsi="MiSans Normal"/>
                <w:b/>
                <w:bCs/>
                <w:sz w:val="20"/>
                <w:szCs w:val="20"/>
                <w:lang w:val="en-US"/>
              </w:rPr>
            </w:pPr>
            <w:r w:rsidRPr="00A66720">
              <w:rPr>
                <w:rFonts w:ascii="MiSans Normal" w:eastAsia="MiSans Normal" w:hAnsi="MiSans Normal"/>
                <w:b/>
                <w:bCs/>
                <w:sz w:val="20"/>
                <w:szCs w:val="20"/>
                <w:lang w:val="en-US"/>
              </w:rPr>
              <w:t>RM</w:t>
            </w:r>
          </w:p>
        </w:tc>
        <w:tc>
          <w:tcPr>
            <w:tcW w:w="3425" w:type="dxa"/>
            <w:tcBorders>
              <w:top w:val="single" w:sz="4" w:space="0" w:color="auto"/>
              <w:left w:val="double" w:sz="4" w:space="0" w:color="auto"/>
            </w:tcBorders>
          </w:tcPr>
          <w:p w14:paraId="52616F72" w14:textId="77777777" w:rsidR="007B2293" w:rsidRDefault="007B2293" w:rsidP="00A36CB6">
            <w:pPr>
              <w:spacing w:line="276" w:lineRule="auto"/>
              <w:rPr>
                <w:rFonts w:ascii="MiSans Normal" w:eastAsia="MiSans Normal" w:hAnsi="MiSans Normal"/>
                <w:sz w:val="20"/>
                <w:szCs w:val="20"/>
                <w:lang w:val="en-US"/>
              </w:rPr>
            </w:pPr>
          </w:p>
        </w:tc>
        <w:tc>
          <w:tcPr>
            <w:tcW w:w="1083" w:type="dxa"/>
            <w:tcBorders>
              <w:top w:val="single" w:sz="4" w:space="0" w:color="auto"/>
            </w:tcBorders>
          </w:tcPr>
          <w:p w14:paraId="7EFD580E" w14:textId="77777777" w:rsidR="007B2293" w:rsidRPr="00A66720" w:rsidRDefault="007B2293" w:rsidP="00A36CB6">
            <w:pPr>
              <w:spacing w:line="276" w:lineRule="auto"/>
              <w:ind w:right="-182"/>
              <w:jc w:val="center"/>
              <w:rPr>
                <w:rFonts w:ascii="MiSans Normal" w:eastAsia="MiSans Normal" w:hAnsi="MiSans Normal"/>
                <w:b/>
                <w:bCs/>
                <w:sz w:val="20"/>
                <w:szCs w:val="20"/>
                <w:lang w:val="en-US"/>
              </w:rPr>
            </w:pPr>
            <w:r w:rsidRPr="00A66720">
              <w:rPr>
                <w:rFonts w:ascii="MiSans Normal" w:eastAsia="MiSans Normal" w:hAnsi="MiSans Normal"/>
                <w:b/>
                <w:bCs/>
                <w:sz w:val="20"/>
                <w:szCs w:val="20"/>
                <w:lang w:val="en-US"/>
              </w:rPr>
              <w:t>RM</w:t>
            </w:r>
          </w:p>
        </w:tc>
      </w:tr>
      <w:tr w:rsidR="007B2293" w14:paraId="7F5F94E8" w14:textId="77777777" w:rsidTr="00DB00AA">
        <w:tc>
          <w:tcPr>
            <w:tcW w:w="3397" w:type="dxa"/>
          </w:tcPr>
          <w:p w14:paraId="1220ED2C" w14:textId="4AC64D70" w:rsidR="007B2293" w:rsidRDefault="007B2293" w:rsidP="00A36CB6">
            <w:pPr>
              <w:spacing w:line="276" w:lineRule="auto"/>
              <w:rPr>
                <w:rFonts w:ascii="MiSans Normal" w:eastAsia="MiSans Normal" w:hAnsi="MiSans Normal"/>
                <w:sz w:val="20"/>
                <w:szCs w:val="20"/>
                <w:lang w:val="en-US"/>
              </w:rPr>
            </w:pPr>
            <w:r>
              <w:rPr>
                <w:rFonts w:ascii="MiSans Normal" w:eastAsia="MiSans Normal" w:hAnsi="MiSans Normal"/>
                <w:sz w:val="20"/>
                <w:szCs w:val="20"/>
                <w:lang w:val="en-US"/>
              </w:rPr>
              <w:t>Motor Vehicles</w:t>
            </w:r>
          </w:p>
        </w:tc>
        <w:tc>
          <w:tcPr>
            <w:tcW w:w="1111" w:type="dxa"/>
            <w:tcBorders>
              <w:right w:val="double" w:sz="4" w:space="0" w:color="auto"/>
            </w:tcBorders>
          </w:tcPr>
          <w:p w14:paraId="143759C0" w14:textId="2558F799" w:rsidR="007B2293" w:rsidRDefault="007B2293" w:rsidP="00A36CB6">
            <w:pPr>
              <w:spacing w:line="276" w:lineRule="auto"/>
              <w:jc w:val="right"/>
              <w:rPr>
                <w:rFonts w:ascii="MiSans Normal" w:eastAsia="MiSans Normal" w:hAnsi="MiSans Normal"/>
                <w:sz w:val="20"/>
                <w:szCs w:val="20"/>
                <w:lang w:val="en-US"/>
              </w:rPr>
            </w:pPr>
            <w:r>
              <w:rPr>
                <w:rFonts w:ascii="MiSans Normal" w:eastAsia="MiSans Normal" w:hAnsi="MiSans Normal"/>
                <w:sz w:val="20"/>
                <w:szCs w:val="20"/>
                <w:lang w:val="en-US"/>
              </w:rPr>
              <w:t>12,000</w:t>
            </w:r>
          </w:p>
        </w:tc>
        <w:tc>
          <w:tcPr>
            <w:tcW w:w="3425" w:type="dxa"/>
            <w:tcBorders>
              <w:left w:val="double" w:sz="4" w:space="0" w:color="auto"/>
            </w:tcBorders>
          </w:tcPr>
          <w:p w14:paraId="2A7AC709" w14:textId="77777777" w:rsidR="007B2293" w:rsidRDefault="007B2293" w:rsidP="00A36CB6">
            <w:pPr>
              <w:spacing w:line="276" w:lineRule="auto"/>
              <w:rPr>
                <w:rFonts w:ascii="MiSans Normal" w:eastAsia="MiSans Normal" w:hAnsi="MiSans Normal"/>
                <w:sz w:val="20"/>
                <w:szCs w:val="20"/>
                <w:lang w:val="en-US"/>
              </w:rPr>
            </w:pPr>
            <w:r>
              <w:rPr>
                <w:rFonts w:ascii="MiSans Normal" w:eastAsia="MiSans Normal" w:hAnsi="MiSans Normal"/>
                <w:sz w:val="20"/>
                <w:szCs w:val="20"/>
                <w:lang w:val="en-US"/>
              </w:rPr>
              <w:t>Capital</w:t>
            </w:r>
          </w:p>
        </w:tc>
        <w:tc>
          <w:tcPr>
            <w:tcW w:w="1083" w:type="dxa"/>
          </w:tcPr>
          <w:p w14:paraId="43326528" w14:textId="1A9E4AFB" w:rsidR="007B2293" w:rsidRDefault="007B2293" w:rsidP="00A36CB6">
            <w:pPr>
              <w:spacing w:line="276" w:lineRule="auto"/>
              <w:jc w:val="right"/>
              <w:rPr>
                <w:rFonts w:ascii="MiSans Normal" w:eastAsia="MiSans Normal" w:hAnsi="MiSans Normal"/>
                <w:sz w:val="20"/>
                <w:szCs w:val="20"/>
                <w:lang w:val="en-US"/>
              </w:rPr>
            </w:pPr>
            <w:r>
              <w:rPr>
                <w:rFonts w:ascii="MiSans Normal" w:eastAsia="MiSans Normal" w:hAnsi="MiSans Normal"/>
                <w:sz w:val="20"/>
                <w:szCs w:val="20"/>
                <w:lang w:val="en-US"/>
              </w:rPr>
              <w:t>14,000</w:t>
            </w:r>
          </w:p>
        </w:tc>
      </w:tr>
      <w:tr w:rsidR="007B2293" w14:paraId="7CC6258B" w14:textId="77777777" w:rsidTr="00DB00AA">
        <w:tc>
          <w:tcPr>
            <w:tcW w:w="3397" w:type="dxa"/>
          </w:tcPr>
          <w:p w14:paraId="10E07F45" w14:textId="10B23602" w:rsidR="007B2293" w:rsidRDefault="007B2293" w:rsidP="00A36CB6">
            <w:pPr>
              <w:spacing w:line="276" w:lineRule="auto"/>
              <w:rPr>
                <w:rFonts w:ascii="MiSans Normal" w:eastAsia="MiSans Normal" w:hAnsi="MiSans Normal"/>
                <w:sz w:val="20"/>
                <w:szCs w:val="20"/>
                <w:lang w:val="en-US"/>
              </w:rPr>
            </w:pPr>
            <w:r>
              <w:rPr>
                <w:rFonts w:ascii="MiSans Normal" w:eastAsia="MiSans Normal" w:hAnsi="MiSans Normal"/>
                <w:sz w:val="20"/>
                <w:szCs w:val="20"/>
                <w:lang w:val="en-US"/>
              </w:rPr>
              <w:t>Inventory</w:t>
            </w:r>
          </w:p>
        </w:tc>
        <w:tc>
          <w:tcPr>
            <w:tcW w:w="1111" w:type="dxa"/>
            <w:tcBorders>
              <w:right w:val="double" w:sz="4" w:space="0" w:color="auto"/>
            </w:tcBorders>
          </w:tcPr>
          <w:p w14:paraId="0F7F3EA1" w14:textId="7A56FD4A" w:rsidR="007B2293" w:rsidRDefault="007B2293" w:rsidP="00A36CB6">
            <w:pPr>
              <w:spacing w:line="276" w:lineRule="auto"/>
              <w:jc w:val="right"/>
              <w:rPr>
                <w:rFonts w:ascii="MiSans Normal" w:eastAsia="MiSans Normal" w:hAnsi="MiSans Normal"/>
                <w:sz w:val="20"/>
                <w:szCs w:val="20"/>
                <w:lang w:val="en-US"/>
              </w:rPr>
            </w:pPr>
            <w:r>
              <w:rPr>
                <w:rFonts w:ascii="MiSans Normal" w:eastAsia="MiSans Normal" w:hAnsi="MiSans Normal"/>
                <w:sz w:val="20"/>
                <w:szCs w:val="20"/>
                <w:lang w:val="en-US"/>
              </w:rPr>
              <w:t>4,500</w:t>
            </w:r>
          </w:p>
        </w:tc>
        <w:tc>
          <w:tcPr>
            <w:tcW w:w="3425" w:type="dxa"/>
            <w:tcBorders>
              <w:left w:val="double" w:sz="4" w:space="0" w:color="auto"/>
            </w:tcBorders>
          </w:tcPr>
          <w:p w14:paraId="1F9261AF" w14:textId="3CB781D5" w:rsidR="007B2293" w:rsidRDefault="007B2293" w:rsidP="00A36CB6">
            <w:pPr>
              <w:spacing w:line="276" w:lineRule="auto"/>
              <w:rPr>
                <w:rFonts w:ascii="MiSans Normal" w:eastAsia="MiSans Normal" w:hAnsi="MiSans Normal"/>
                <w:sz w:val="20"/>
                <w:szCs w:val="20"/>
                <w:lang w:val="en-US"/>
              </w:rPr>
            </w:pPr>
            <w:r>
              <w:rPr>
                <w:rFonts w:ascii="MiSans Normal" w:eastAsia="MiSans Normal" w:hAnsi="MiSans Normal"/>
                <w:sz w:val="20"/>
                <w:szCs w:val="20"/>
                <w:lang w:val="en-US"/>
              </w:rPr>
              <w:t>Accounts Payable</w:t>
            </w:r>
          </w:p>
        </w:tc>
        <w:tc>
          <w:tcPr>
            <w:tcW w:w="1083" w:type="dxa"/>
          </w:tcPr>
          <w:p w14:paraId="4DBA3D15" w14:textId="42091BA2" w:rsidR="007B2293" w:rsidRDefault="007B2293" w:rsidP="00A36CB6">
            <w:pPr>
              <w:spacing w:line="276" w:lineRule="auto"/>
              <w:jc w:val="right"/>
              <w:rPr>
                <w:rFonts w:ascii="MiSans Normal" w:eastAsia="MiSans Normal" w:hAnsi="MiSans Normal"/>
                <w:sz w:val="20"/>
                <w:szCs w:val="20"/>
                <w:lang w:val="en-US"/>
              </w:rPr>
            </w:pPr>
            <w:r>
              <w:rPr>
                <w:rFonts w:ascii="MiSans Normal" w:eastAsia="MiSans Normal" w:hAnsi="MiSans Normal"/>
                <w:sz w:val="20"/>
                <w:szCs w:val="20"/>
                <w:lang w:val="en-US"/>
              </w:rPr>
              <w:t>1,500</w:t>
            </w:r>
          </w:p>
        </w:tc>
      </w:tr>
      <w:tr w:rsidR="007B2293" w14:paraId="5BCFAAF3" w14:textId="77777777" w:rsidTr="00DB00AA">
        <w:tc>
          <w:tcPr>
            <w:tcW w:w="3397" w:type="dxa"/>
          </w:tcPr>
          <w:p w14:paraId="589B3A4F" w14:textId="51045195" w:rsidR="007B2293" w:rsidRDefault="007B2293" w:rsidP="00A36CB6">
            <w:pPr>
              <w:spacing w:line="276" w:lineRule="auto"/>
              <w:rPr>
                <w:rFonts w:ascii="MiSans Normal" w:eastAsia="MiSans Normal" w:hAnsi="MiSans Normal"/>
                <w:sz w:val="20"/>
                <w:szCs w:val="20"/>
                <w:lang w:val="en-US"/>
              </w:rPr>
            </w:pPr>
            <w:r>
              <w:rPr>
                <w:rFonts w:ascii="MiSans Normal" w:eastAsia="MiSans Normal" w:hAnsi="MiSans Normal"/>
                <w:sz w:val="20"/>
                <w:szCs w:val="20"/>
                <w:lang w:val="en-US"/>
              </w:rPr>
              <w:t>Accounts Receivable</w:t>
            </w:r>
          </w:p>
        </w:tc>
        <w:tc>
          <w:tcPr>
            <w:tcW w:w="1111" w:type="dxa"/>
            <w:tcBorders>
              <w:right w:val="double" w:sz="4" w:space="0" w:color="auto"/>
            </w:tcBorders>
          </w:tcPr>
          <w:p w14:paraId="5618C96E" w14:textId="78C4FBEF" w:rsidR="007B2293" w:rsidRDefault="007B2293" w:rsidP="00A36CB6">
            <w:pPr>
              <w:spacing w:line="276" w:lineRule="auto"/>
              <w:jc w:val="right"/>
              <w:rPr>
                <w:rFonts w:ascii="MiSans Normal" w:eastAsia="MiSans Normal" w:hAnsi="MiSans Normal"/>
                <w:sz w:val="20"/>
                <w:szCs w:val="20"/>
                <w:lang w:val="en-US"/>
              </w:rPr>
            </w:pPr>
            <w:r>
              <w:rPr>
                <w:rFonts w:ascii="MiSans Normal" w:eastAsia="MiSans Normal" w:hAnsi="MiSans Normal"/>
                <w:sz w:val="20"/>
                <w:szCs w:val="20"/>
                <w:lang w:val="en-US"/>
              </w:rPr>
              <w:t>2,800</w:t>
            </w:r>
          </w:p>
        </w:tc>
        <w:tc>
          <w:tcPr>
            <w:tcW w:w="3425" w:type="dxa"/>
            <w:tcBorders>
              <w:left w:val="double" w:sz="4" w:space="0" w:color="auto"/>
            </w:tcBorders>
          </w:tcPr>
          <w:p w14:paraId="0FF46DE9" w14:textId="204ACF78" w:rsidR="007B2293" w:rsidRDefault="007B2293" w:rsidP="00A36CB6">
            <w:pPr>
              <w:spacing w:line="276" w:lineRule="auto"/>
              <w:rPr>
                <w:rFonts w:ascii="MiSans Normal" w:eastAsia="MiSans Normal" w:hAnsi="MiSans Normal"/>
                <w:sz w:val="20"/>
                <w:szCs w:val="20"/>
                <w:lang w:val="en-US"/>
              </w:rPr>
            </w:pPr>
            <w:r>
              <w:rPr>
                <w:rFonts w:ascii="MiSans Normal" w:eastAsia="MiSans Normal" w:hAnsi="MiSans Normal"/>
                <w:sz w:val="20"/>
                <w:szCs w:val="20"/>
                <w:lang w:val="en-US"/>
              </w:rPr>
              <w:t>Loan from Samy</w:t>
            </w:r>
          </w:p>
        </w:tc>
        <w:tc>
          <w:tcPr>
            <w:tcW w:w="1083" w:type="dxa"/>
          </w:tcPr>
          <w:p w14:paraId="2F293B2B" w14:textId="4138EC69" w:rsidR="007B2293" w:rsidRDefault="007B2293" w:rsidP="00A36CB6">
            <w:pPr>
              <w:spacing w:line="276" w:lineRule="auto"/>
              <w:jc w:val="right"/>
              <w:rPr>
                <w:rFonts w:ascii="MiSans Normal" w:eastAsia="MiSans Normal" w:hAnsi="MiSans Normal"/>
                <w:sz w:val="20"/>
                <w:szCs w:val="20"/>
                <w:lang w:val="en-US"/>
              </w:rPr>
            </w:pPr>
            <w:r>
              <w:rPr>
                <w:rFonts w:ascii="MiSans Normal" w:eastAsia="MiSans Normal" w:hAnsi="MiSans Normal"/>
                <w:sz w:val="20"/>
                <w:szCs w:val="20"/>
                <w:lang w:val="en-US"/>
              </w:rPr>
              <w:t>4,500</w:t>
            </w:r>
          </w:p>
        </w:tc>
      </w:tr>
      <w:tr w:rsidR="007B2293" w14:paraId="0024BA99" w14:textId="77777777" w:rsidTr="00DB00AA">
        <w:tc>
          <w:tcPr>
            <w:tcW w:w="3397" w:type="dxa"/>
          </w:tcPr>
          <w:p w14:paraId="4693A7BB" w14:textId="6C538382" w:rsidR="007B2293" w:rsidRDefault="007B2293" w:rsidP="00A36CB6">
            <w:pPr>
              <w:spacing w:line="276" w:lineRule="auto"/>
              <w:rPr>
                <w:rFonts w:ascii="MiSans Normal" w:eastAsia="MiSans Normal" w:hAnsi="MiSans Normal"/>
                <w:sz w:val="20"/>
                <w:szCs w:val="20"/>
                <w:lang w:val="en-US"/>
              </w:rPr>
            </w:pPr>
            <w:r>
              <w:rPr>
                <w:rFonts w:ascii="MiSans Normal" w:eastAsia="MiSans Normal" w:hAnsi="MiSans Normal"/>
                <w:sz w:val="20"/>
                <w:szCs w:val="20"/>
                <w:lang w:val="en-US"/>
              </w:rPr>
              <w:t>Bank</w:t>
            </w:r>
          </w:p>
        </w:tc>
        <w:tc>
          <w:tcPr>
            <w:tcW w:w="1111" w:type="dxa"/>
            <w:tcBorders>
              <w:bottom w:val="single" w:sz="4" w:space="0" w:color="auto"/>
              <w:right w:val="double" w:sz="4" w:space="0" w:color="auto"/>
            </w:tcBorders>
          </w:tcPr>
          <w:p w14:paraId="29968E25" w14:textId="3916DCD1" w:rsidR="007B2293" w:rsidRDefault="007B2293" w:rsidP="00A36CB6">
            <w:pPr>
              <w:spacing w:line="276" w:lineRule="auto"/>
              <w:jc w:val="right"/>
              <w:rPr>
                <w:rFonts w:ascii="MiSans Normal" w:eastAsia="MiSans Normal" w:hAnsi="MiSans Normal"/>
                <w:sz w:val="20"/>
                <w:szCs w:val="20"/>
                <w:lang w:val="en-US"/>
              </w:rPr>
            </w:pPr>
            <w:r>
              <w:rPr>
                <w:rFonts w:ascii="MiSans Normal" w:eastAsia="MiSans Normal" w:hAnsi="MiSans Normal"/>
                <w:sz w:val="20"/>
                <w:szCs w:val="20"/>
                <w:lang w:val="en-US"/>
              </w:rPr>
              <w:t>700</w:t>
            </w:r>
          </w:p>
        </w:tc>
        <w:tc>
          <w:tcPr>
            <w:tcW w:w="3425" w:type="dxa"/>
            <w:tcBorders>
              <w:left w:val="double" w:sz="4" w:space="0" w:color="auto"/>
            </w:tcBorders>
          </w:tcPr>
          <w:p w14:paraId="0FD7F9C9" w14:textId="77777777" w:rsidR="007B2293" w:rsidRDefault="007B2293" w:rsidP="00A36CB6">
            <w:pPr>
              <w:spacing w:line="276" w:lineRule="auto"/>
              <w:rPr>
                <w:rFonts w:ascii="MiSans Normal" w:eastAsia="MiSans Normal" w:hAnsi="MiSans Normal"/>
                <w:sz w:val="20"/>
                <w:szCs w:val="20"/>
                <w:lang w:val="en-US"/>
              </w:rPr>
            </w:pPr>
          </w:p>
        </w:tc>
        <w:tc>
          <w:tcPr>
            <w:tcW w:w="1083" w:type="dxa"/>
            <w:tcBorders>
              <w:bottom w:val="single" w:sz="4" w:space="0" w:color="auto"/>
            </w:tcBorders>
          </w:tcPr>
          <w:p w14:paraId="6B964D6A" w14:textId="77777777" w:rsidR="007B2293" w:rsidRDefault="007B2293" w:rsidP="00A36CB6">
            <w:pPr>
              <w:spacing w:line="276" w:lineRule="auto"/>
              <w:jc w:val="right"/>
              <w:rPr>
                <w:rFonts w:ascii="MiSans Normal" w:eastAsia="MiSans Normal" w:hAnsi="MiSans Normal"/>
                <w:sz w:val="20"/>
                <w:szCs w:val="20"/>
                <w:lang w:val="en-US"/>
              </w:rPr>
            </w:pPr>
          </w:p>
        </w:tc>
      </w:tr>
      <w:tr w:rsidR="007B2293" w14:paraId="5769C23A" w14:textId="77777777" w:rsidTr="00DB00AA">
        <w:tc>
          <w:tcPr>
            <w:tcW w:w="3397" w:type="dxa"/>
          </w:tcPr>
          <w:p w14:paraId="1C172007" w14:textId="77777777" w:rsidR="007B2293" w:rsidRDefault="007B2293" w:rsidP="00A36CB6">
            <w:pPr>
              <w:spacing w:line="276" w:lineRule="auto"/>
              <w:rPr>
                <w:rFonts w:ascii="MiSans Normal" w:eastAsia="MiSans Normal" w:hAnsi="MiSans Normal"/>
                <w:sz w:val="20"/>
                <w:szCs w:val="20"/>
                <w:lang w:val="en-US"/>
              </w:rPr>
            </w:pPr>
          </w:p>
        </w:tc>
        <w:tc>
          <w:tcPr>
            <w:tcW w:w="1111" w:type="dxa"/>
            <w:tcBorders>
              <w:top w:val="single" w:sz="4" w:space="0" w:color="auto"/>
              <w:bottom w:val="double" w:sz="4" w:space="0" w:color="auto"/>
              <w:right w:val="double" w:sz="4" w:space="0" w:color="auto"/>
            </w:tcBorders>
          </w:tcPr>
          <w:p w14:paraId="3E3478F9" w14:textId="47B266A9" w:rsidR="007B2293" w:rsidRDefault="007B2293" w:rsidP="00A36CB6">
            <w:pPr>
              <w:spacing w:line="276" w:lineRule="auto"/>
              <w:jc w:val="right"/>
              <w:rPr>
                <w:rFonts w:ascii="MiSans Normal" w:eastAsia="MiSans Normal" w:hAnsi="MiSans Normal"/>
                <w:sz w:val="20"/>
                <w:szCs w:val="20"/>
                <w:lang w:val="en-US"/>
              </w:rPr>
            </w:pPr>
            <w:r>
              <w:rPr>
                <w:rFonts w:ascii="MiSans Normal" w:eastAsia="MiSans Normal" w:hAnsi="MiSans Normal"/>
                <w:sz w:val="20"/>
                <w:szCs w:val="20"/>
                <w:lang w:val="en-US"/>
              </w:rPr>
              <w:t>20,000</w:t>
            </w:r>
          </w:p>
        </w:tc>
        <w:tc>
          <w:tcPr>
            <w:tcW w:w="3425" w:type="dxa"/>
            <w:tcBorders>
              <w:left w:val="double" w:sz="4" w:space="0" w:color="auto"/>
            </w:tcBorders>
          </w:tcPr>
          <w:p w14:paraId="7E11B4CE" w14:textId="77777777" w:rsidR="007B2293" w:rsidRDefault="007B2293" w:rsidP="00A36CB6">
            <w:pPr>
              <w:spacing w:line="276" w:lineRule="auto"/>
              <w:rPr>
                <w:rFonts w:ascii="MiSans Normal" w:eastAsia="MiSans Normal" w:hAnsi="MiSans Normal"/>
                <w:sz w:val="20"/>
                <w:szCs w:val="20"/>
                <w:lang w:val="en-US"/>
              </w:rPr>
            </w:pPr>
          </w:p>
        </w:tc>
        <w:tc>
          <w:tcPr>
            <w:tcW w:w="1083" w:type="dxa"/>
            <w:tcBorders>
              <w:top w:val="single" w:sz="4" w:space="0" w:color="auto"/>
              <w:bottom w:val="double" w:sz="4" w:space="0" w:color="auto"/>
            </w:tcBorders>
          </w:tcPr>
          <w:p w14:paraId="08524690" w14:textId="22E5987C" w:rsidR="007B2293" w:rsidRDefault="007B2293" w:rsidP="00A36CB6">
            <w:pPr>
              <w:spacing w:line="276" w:lineRule="auto"/>
              <w:jc w:val="right"/>
              <w:rPr>
                <w:rFonts w:ascii="MiSans Normal" w:eastAsia="MiSans Normal" w:hAnsi="MiSans Normal"/>
                <w:sz w:val="20"/>
                <w:szCs w:val="20"/>
                <w:lang w:val="en-US"/>
              </w:rPr>
            </w:pPr>
            <w:r>
              <w:rPr>
                <w:rFonts w:ascii="MiSans Normal" w:eastAsia="MiSans Normal" w:hAnsi="MiSans Normal"/>
                <w:sz w:val="20"/>
                <w:szCs w:val="20"/>
                <w:lang w:val="en-US"/>
              </w:rPr>
              <w:t>20,000</w:t>
            </w:r>
          </w:p>
        </w:tc>
      </w:tr>
    </w:tbl>
    <w:p w14:paraId="167176C8" w14:textId="0F4D0297" w:rsidR="007B2293" w:rsidRPr="00A36CB6" w:rsidRDefault="007B2293" w:rsidP="00A36CB6">
      <w:pPr>
        <w:spacing w:line="276" w:lineRule="auto"/>
        <w:rPr>
          <w:rFonts w:ascii="MiSans Normal" w:eastAsia="MiSans Normal" w:hAnsi="MiSans Normal"/>
          <w:sz w:val="10"/>
          <w:szCs w:val="10"/>
          <w:lang w:val="en-US"/>
        </w:rPr>
      </w:pPr>
    </w:p>
    <w:p w14:paraId="2D473D85" w14:textId="1414C4DD" w:rsidR="007B2293" w:rsidRDefault="007B2293" w:rsidP="00A36CB6">
      <w:pPr>
        <w:spacing w:line="276" w:lineRule="auto"/>
        <w:rPr>
          <w:rFonts w:ascii="MiSans Normal" w:eastAsia="MiSans Normal" w:hAnsi="MiSans Normal"/>
          <w:sz w:val="20"/>
          <w:szCs w:val="20"/>
          <w:lang w:val="en-US"/>
        </w:rPr>
      </w:pPr>
      <w:r>
        <w:rPr>
          <w:rFonts w:ascii="MiSans Normal" w:eastAsia="MiSans Normal" w:hAnsi="MiSans Normal"/>
          <w:sz w:val="20"/>
          <w:szCs w:val="20"/>
          <w:lang w:val="en-US"/>
        </w:rPr>
        <w:t>On 1 January Year 6 the business was purchased by Phang And Gooi, a newly formed partnership.</w:t>
      </w:r>
    </w:p>
    <w:p w14:paraId="2082D139" w14:textId="77777777" w:rsidR="007B2293" w:rsidRPr="00A36CB6" w:rsidRDefault="007B2293" w:rsidP="00A36CB6">
      <w:pPr>
        <w:spacing w:line="276" w:lineRule="auto"/>
        <w:rPr>
          <w:rFonts w:ascii="MiSans Normal" w:eastAsia="MiSans Normal" w:hAnsi="MiSans Normal"/>
          <w:sz w:val="10"/>
          <w:szCs w:val="10"/>
          <w:lang w:val="en-US"/>
        </w:rPr>
      </w:pPr>
    </w:p>
    <w:p w14:paraId="27F90296" w14:textId="5CB398D2" w:rsidR="007B2293" w:rsidRDefault="007B2293" w:rsidP="00A36CB6">
      <w:pPr>
        <w:spacing w:line="276" w:lineRule="auto"/>
        <w:rPr>
          <w:rFonts w:ascii="MiSans Normal" w:eastAsia="MiSans Normal" w:hAnsi="MiSans Normal"/>
          <w:sz w:val="20"/>
          <w:szCs w:val="20"/>
          <w:lang w:val="en-US"/>
        </w:rPr>
      </w:pPr>
      <w:r>
        <w:rPr>
          <w:rFonts w:ascii="MiSans Normal" w:eastAsia="MiSans Normal" w:hAnsi="MiSans Normal"/>
          <w:sz w:val="20"/>
          <w:szCs w:val="20"/>
          <w:lang w:val="en-US"/>
        </w:rPr>
        <w:t>Tee was to pay off all the liabilities and would retain the cash at bank. All the other assets would be taken over at carrying values, except for inventory which was revalued at RM 3,800. The purchase consideration was agreed at RM 25,000.</w:t>
      </w:r>
    </w:p>
    <w:p w14:paraId="5B26B0E5" w14:textId="77777777" w:rsidR="007B2293" w:rsidRPr="00A36CB6" w:rsidRDefault="007B2293" w:rsidP="00A36CB6">
      <w:pPr>
        <w:spacing w:line="276" w:lineRule="auto"/>
        <w:rPr>
          <w:rFonts w:ascii="MiSans Normal" w:eastAsia="MiSans Normal" w:hAnsi="MiSans Normal"/>
          <w:sz w:val="10"/>
          <w:szCs w:val="10"/>
          <w:lang w:val="en-US"/>
        </w:rPr>
      </w:pPr>
    </w:p>
    <w:p w14:paraId="6DCE88F9" w14:textId="22F1C1F4" w:rsidR="007B2293" w:rsidRDefault="007B2293" w:rsidP="00A36CB6">
      <w:pPr>
        <w:spacing w:line="276" w:lineRule="auto"/>
        <w:rPr>
          <w:rFonts w:ascii="MiSans Normal" w:eastAsia="MiSans Normal" w:hAnsi="MiSans Normal"/>
          <w:sz w:val="20"/>
          <w:szCs w:val="20"/>
          <w:lang w:val="en-US"/>
        </w:rPr>
      </w:pPr>
      <w:r>
        <w:rPr>
          <w:rFonts w:ascii="MiSans Normal" w:eastAsia="MiSans Normal" w:hAnsi="MiSans Normal"/>
          <w:sz w:val="20"/>
          <w:szCs w:val="20"/>
          <w:lang w:val="en-US"/>
        </w:rPr>
        <w:t>The partnership agreement provided that the partners should each contribute RM 15,000 cash as their initial capital from which the consideration would be discharged.</w:t>
      </w:r>
    </w:p>
    <w:p w14:paraId="369BCABA" w14:textId="77777777" w:rsidR="007B2293" w:rsidRDefault="007B2293" w:rsidP="00A36CB6">
      <w:pPr>
        <w:spacing w:line="276" w:lineRule="auto"/>
        <w:rPr>
          <w:rFonts w:ascii="MiSans Normal" w:eastAsia="MiSans Normal" w:hAnsi="MiSans Normal"/>
          <w:sz w:val="20"/>
          <w:szCs w:val="20"/>
          <w:lang w:val="en-US"/>
        </w:rPr>
      </w:pPr>
    </w:p>
    <w:p w14:paraId="1CA975A6" w14:textId="21240486" w:rsidR="007B2293" w:rsidRPr="007B2293" w:rsidRDefault="007B2293" w:rsidP="00A36CB6">
      <w:pPr>
        <w:spacing w:line="276" w:lineRule="auto"/>
        <w:rPr>
          <w:rFonts w:ascii="MiSans Normal" w:eastAsia="MiSans Normal" w:hAnsi="MiSans Normal"/>
          <w:b/>
          <w:bCs/>
          <w:sz w:val="20"/>
          <w:szCs w:val="20"/>
          <w:lang w:val="en-US"/>
        </w:rPr>
      </w:pPr>
      <w:r w:rsidRPr="007B2293">
        <w:rPr>
          <w:rFonts w:ascii="MiSans Normal" w:eastAsia="MiSans Normal" w:hAnsi="MiSans Normal"/>
          <w:b/>
          <w:bCs/>
          <w:sz w:val="20"/>
          <w:szCs w:val="20"/>
          <w:lang w:val="en-US"/>
        </w:rPr>
        <w:t>You are required to prepare:</w:t>
      </w:r>
    </w:p>
    <w:p w14:paraId="6CBB52A1" w14:textId="2A01F814" w:rsidR="007B2293" w:rsidRDefault="007B2293" w:rsidP="00A36CB6">
      <w:pPr>
        <w:pStyle w:val="ListParagraph"/>
        <w:numPr>
          <w:ilvl w:val="0"/>
          <w:numId w:val="1"/>
        </w:numPr>
        <w:spacing w:line="276" w:lineRule="auto"/>
        <w:rPr>
          <w:rFonts w:ascii="MiSans Normal" w:eastAsia="MiSans Normal" w:hAnsi="MiSans Normal"/>
          <w:sz w:val="20"/>
          <w:szCs w:val="20"/>
          <w:lang w:val="en-US"/>
        </w:rPr>
      </w:pPr>
      <w:r>
        <w:rPr>
          <w:rFonts w:ascii="MiSans Normal" w:eastAsia="MiSans Normal" w:hAnsi="MiSans Normal"/>
          <w:sz w:val="20"/>
          <w:szCs w:val="20"/>
          <w:lang w:val="en-US"/>
        </w:rPr>
        <w:t>in the books of buyer:</w:t>
      </w:r>
    </w:p>
    <w:p w14:paraId="4192A2A6" w14:textId="710098A1" w:rsidR="007B2293" w:rsidRDefault="007B2293" w:rsidP="00A36CB6">
      <w:pPr>
        <w:pStyle w:val="ListParagraph"/>
        <w:numPr>
          <w:ilvl w:val="0"/>
          <w:numId w:val="2"/>
        </w:numPr>
        <w:spacing w:line="276" w:lineRule="auto"/>
        <w:rPr>
          <w:rFonts w:ascii="MiSans Normal" w:eastAsia="MiSans Normal" w:hAnsi="MiSans Normal"/>
          <w:sz w:val="20"/>
          <w:szCs w:val="20"/>
          <w:lang w:val="en-US"/>
        </w:rPr>
      </w:pPr>
      <w:r>
        <w:rPr>
          <w:rFonts w:ascii="MiSans Normal" w:eastAsia="MiSans Normal" w:hAnsi="MiSans Normal"/>
          <w:sz w:val="20"/>
          <w:szCs w:val="20"/>
          <w:lang w:val="en-US"/>
        </w:rPr>
        <w:t>Journal entries to record the business purchase;</w:t>
      </w:r>
    </w:p>
    <w:p w14:paraId="0BEB11DD" w14:textId="5BB2F091" w:rsidR="007B2293" w:rsidRDefault="007B2293" w:rsidP="00A36CB6">
      <w:pPr>
        <w:pStyle w:val="ListParagraph"/>
        <w:numPr>
          <w:ilvl w:val="0"/>
          <w:numId w:val="2"/>
        </w:numPr>
        <w:spacing w:line="276" w:lineRule="auto"/>
        <w:rPr>
          <w:rFonts w:ascii="MiSans Normal" w:eastAsia="MiSans Normal" w:hAnsi="MiSans Normal"/>
          <w:sz w:val="20"/>
          <w:szCs w:val="20"/>
          <w:lang w:val="en-US"/>
        </w:rPr>
      </w:pPr>
      <w:r>
        <w:rPr>
          <w:rFonts w:ascii="MiSans Normal" w:eastAsia="MiSans Normal" w:hAnsi="MiSans Normal"/>
          <w:sz w:val="20"/>
          <w:szCs w:val="20"/>
          <w:lang w:val="en-US"/>
        </w:rPr>
        <w:t xml:space="preserve">Statement of Financial Position as </w:t>
      </w:r>
      <w:proofErr w:type="gramStart"/>
      <w:r>
        <w:rPr>
          <w:rFonts w:ascii="MiSans Normal" w:eastAsia="MiSans Normal" w:hAnsi="MiSans Normal"/>
          <w:sz w:val="20"/>
          <w:szCs w:val="20"/>
          <w:lang w:val="en-US"/>
        </w:rPr>
        <w:t>at</w:t>
      </w:r>
      <w:proofErr w:type="gramEnd"/>
      <w:r>
        <w:rPr>
          <w:rFonts w:ascii="MiSans Normal" w:eastAsia="MiSans Normal" w:hAnsi="MiSans Normal"/>
          <w:sz w:val="20"/>
          <w:szCs w:val="20"/>
          <w:lang w:val="en-US"/>
        </w:rPr>
        <w:t xml:space="preserve"> 1 January Year 6.</w:t>
      </w:r>
    </w:p>
    <w:p w14:paraId="34126744" w14:textId="4CF15621" w:rsidR="007B2293" w:rsidRDefault="007B2293" w:rsidP="00A36CB6">
      <w:pPr>
        <w:pStyle w:val="ListParagraph"/>
        <w:numPr>
          <w:ilvl w:val="0"/>
          <w:numId w:val="1"/>
        </w:numPr>
        <w:spacing w:line="276" w:lineRule="auto"/>
        <w:rPr>
          <w:rFonts w:ascii="MiSans Normal" w:eastAsia="MiSans Normal" w:hAnsi="MiSans Normal"/>
          <w:sz w:val="20"/>
          <w:szCs w:val="20"/>
          <w:lang w:val="en-US"/>
        </w:rPr>
      </w:pPr>
      <w:r>
        <w:rPr>
          <w:rFonts w:ascii="MiSans Normal" w:eastAsia="MiSans Normal" w:hAnsi="MiSans Normal"/>
          <w:sz w:val="20"/>
          <w:szCs w:val="20"/>
          <w:lang w:val="en-US"/>
        </w:rPr>
        <w:t xml:space="preserve">in the books of </w:t>
      </w:r>
      <w:r w:rsidR="00E4306F">
        <w:rPr>
          <w:rFonts w:ascii="MiSans Normal" w:eastAsia="MiSans Normal" w:hAnsi="MiSans Normal"/>
          <w:sz w:val="20"/>
          <w:szCs w:val="20"/>
          <w:lang w:val="en-US"/>
        </w:rPr>
        <w:t>vendor</w:t>
      </w:r>
      <w:r>
        <w:rPr>
          <w:rFonts w:ascii="MiSans Normal" w:eastAsia="MiSans Normal" w:hAnsi="MiSans Normal"/>
          <w:sz w:val="20"/>
          <w:szCs w:val="20"/>
          <w:lang w:val="en-US"/>
        </w:rPr>
        <w:t>:</w:t>
      </w:r>
    </w:p>
    <w:p w14:paraId="5A434365" w14:textId="0CF56AC3" w:rsidR="007B2293" w:rsidRPr="007B2293" w:rsidRDefault="007B2293" w:rsidP="00A36CB6">
      <w:pPr>
        <w:pStyle w:val="ListParagraph"/>
        <w:spacing w:line="276" w:lineRule="auto"/>
        <w:ind w:left="360"/>
        <w:rPr>
          <w:rFonts w:ascii="MiSans Normal" w:eastAsia="MiSans Normal" w:hAnsi="MiSans Normal"/>
          <w:sz w:val="20"/>
          <w:szCs w:val="20"/>
          <w:lang w:val="en-US"/>
        </w:rPr>
      </w:pPr>
      <w:r>
        <w:rPr>
          <w:rFonts w:ascii="MiSans Normal" w:eastAsia="MiSans Normal" w:hAnsi="MiSans Normal"/>
          <w:sz w:val="20"/>
          <w:szCs w:val="20"/>
          <w:lang w:val="en-US"/>
        </w:rPr>
        <w:t>Journal entries to close the books.</w:t>
      </w:r>
    </w:p>
    <w:sectPr w:rsidR="007B2293" w:rsidRPr="007B22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Sans Normal">
    <w:panose1 w:val="00000500000000000000"/>
    <w:charset w:val="86"/>
    <w:family w:val="auto"/>
    <w:pitch w:val="variable"/>
    <w:sig w:usb0="80000287" w:usb1="080F1811"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424A8"/>
    <w:multiLevelType w:val="hybridMultilevel"/>
    <w:tmpl w:val="EDC68916"/>
    <w:lvl w:ilvl="0" w:tplc="E2C2D73E">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2900D94"/>
    <w:multiLevelType w:val="hybridMultilevel"/>
    <w:tmpl w:val="F32A32A2"/>
    <w:lvl w:ilvl="0" w:tplc="236C6B9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95404516">
    <w:abstractNumId w:val="0"/>
  </w:num>
  <w:num w:numId="2" w16cid:durableId="625694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293"/>
    <w:rsid w:val="00140178"/>
    <w:rsid w:val="007B2293"/>
    <w:rsid w:val="008C02CC"/>
    <w:rsid w:val="00A36CB6"/>
    <w:rsid w:val="00A921C9"/>
    <w:rsid w:val="00E4306F"/>
    <w:rsid w:val="00EB491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CFD60A"/>
  <w15:chartTrackingRefBased/>
  <w15:docId w15:val="{92B7DA15-9D00-8047-B9BB-46743DAE5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22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22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151</Words>
  <Characters>863</Characters>
  <Application>Microsoft Office Word</Application>
  <DocSecurity>0</DocSecurity>
  <Lines>7</Lines>
  <Paragraphs>2</Paragraphs>
  <ScaleCrop>false</ScaleCrop>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3</cp:revision>
  <dcterms:created xsi:type="dcterms:W3CDTF">2023-08-16T11:31:00Z</dcterms:created>
  <dcterms:modified xsi:type="dcterms:W3CDTF">2023-08-16T12:02:00Z</dcterms:modified>
</cp:coreProperties>
</file>