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A129" w14:textId="6E92F0C6" w:rsidR="00EC0A2A" w:rsidRPr="00EC0A2A" w:rsidRDefault="00EC0A2A" w:rsidP="00EC0A2A">
      <w:pPr>
        <w:spacing w:after="268" w:line="276" w:lineRule="auto"/>
        <w:ind w:left="480" w:right="50" w:hanging="480"/>
        <w:rPr>
          <w:rFonts w:ascii="Times New Roman" w:hAnsi="Times New Roman" w:cs="Times New Roman"/>
          <w:b/>
          <w:bCs/>
          <w:lang w:val="en-US"/>
        </w:rPr>
      </w:pPr>
      <w:r w:rsidRPr="007E00C5">
        <w:rPr>
          <w:rFonts w:ascii="Times New Roman" w:hAnsi="Times New Roman" w:cs="Times New Roman"/>
          <w:b/>
          <w:bCs/>
        </w:rPr>
        <w:t xml:space="preserve">2022 </w:t>
      </w:r>
      <w:r>
        <w:rPr>
          <w:rFonts w:ascii="Times New Roman" w:hAnsi="Times New Roman" w:cs="Times New Roman"/>
          <w:b/>
          <w:bCs/>
        </w:rPr>
        <w:t>Chong Hwa Secondary High School</w:t>
      </w:r>
      <w:r w:rsidRPr="007E00C5">
        <w:rPr>
          <w:rFonts w:ascii="Times New Roman" w:hAnsi="Times New Roman" w:cs="Times New Roman"/>
          <w:b/>
          <w:bCs/>
          <w:lang w:val="en-US"/>
        </w:rPr>
        <w:t xml:space="preserve"> Paper 2 Question </w:t>
      </w:r>
      <w:r>
        <w:rPr>
          <w:rFonts w:ascii="Times New Roman" w:hAnsi="Times New Roman" w:cs="Times New Roman"/>
          <w:b/>
          <w:bCs/>
          <w:lang w:val="en-US"/>
        </w:rPr>
        <w:t>2</w:t>
      </w:r>
    </w:p>
    <w:p w14:paraId="7D5435D0" w14:textId="264C96E5" w:rsidR="008C02CC" w:rsidRPr="008F2D96" w:rsidRDefault="008F2D96" w:rsidP="008F2D96">
      <w:pPr>
        <w:spacing w:line="276" w:lineRule="auto"/>
        <w:rPr>
          <w:rFonts w:ascii="Times New Roman" w:hAnsi="Times New Roman" w:cs="Times New Roman"/>
          <w:lang w:val="en-US"/>
        </w:rPr>
      </w:pPr>
      <w:r w:rsidRPr="008F2D96">
        <w:rPr>
          <w:rFonts w:ascii="Times New Roman" w:hAnsi="Times New Roman" w:cs="Times New Roman"/>
          <w:lang w:val="en-US"/>
        </w:rPr>
        <w:t xml:space="preserve">Bing, </w:t>
      </w:r>
      <w:proofErr w:type="gramStart"/>
      <w:r w:rsidRPr="008F2D96">
        <w:rPr>
          <w:rFonts w:ascii="Times New Roman" w:hAnsi="Times New Roman" w:cs="Times New Roman"/>
          <w:lang w:val="en-US"/>
        </w:rPr>
        <w:t>Qi</w:t>
      </w:r>
      <w:proofErr w:type="gramEnd"/>
      <w:r w:rsidRPr="008F2D96">
        <w:rPr>
          <w:rFonts w:ascii="Times New Roman" w:hAnsi="Times New Roman" w:cs="Times New Roman"/>
          <w:lang w:val="en-US"/>
        </w:rPr>
        <w:t xml:space="preserve"> and Lin were in partnership sharing profits and losses 2:3:1 respectively. Due to mutual agreement, they decided to dissolve their partnership on 31 August 2022.</w:t>
      </w:r>
    </w:p>
    <w:p w14:paraId="41A1A023" w14:textId="6FE804C1" w:rsidR="008F2D96" w:rsidRPr="008F2D96" w:rsidRDefault="008F2D96" w:rsidP="008F2D96">
      <w:pPr>
        <w:spacing w:line="276" w:lineRule="auto"/>
        <w:rPr>
          <w:rFonts w:ascii="Times New Roman" w:hAnsi="Times New Roman" w:cs="Times New Roman"/>
          <w:lang w:val="en-US"/>
        </w:rPr>
      </w:pPr>
      <w:r w:rsidRPr="008F2D96">
        <w:rPr>
          <w:rFonts w:ascii="Times New Roman" w:hAnsi="Times New Roman" w:cs="Times New Roman"/>
          <w:lang w:val="en-US"/>
        </w:rPr>
        <w:t>At that date, the partnership had the following assets and liabilities:</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1418"/>
      </w:tblGrid>
      <w:tr w:rsidR="008F2D96" w:rsidRPr="008F2D96" w14:paraId="594B6192" w14:textId="77777777" w:rsidTr="008F2D96">
        <w:tc>
          <w:tcPr>
            <w:tcW w:w="5245" w:type="dxa"/>
          </w:tcPr>
          <w:p w14:paraId="60D1A2EE" w14:textId="77777777" w:rsidR="008F2D96" w:rsidRPr="008F2D96" w:rsidRDefault="008F2D96" w:rsidP="008F2D96">
            <w:pPr>
              <w:spacing w:line="276" w:lineRule="auto"/>
              <w:rPr>
                <w:rFonts w:ascii="Times New Roman" w:hAnsi="Times New Roman" w:cs="Times New Roman"/>
                <w:lang w:val="en-US"/>
              </w:rPr>
            </w:pPr>
          </w:p>
        </w:tc>
        <w:tc>
          <w:tcPr>
            <w:tcW w:w="1418" w:type="dxa"/>
          </w:tcPr>
          <w:p w14:paraId="656470E1" w14:textId="16341980" w:rsidR="008F2D96" w:rsidRPr="008F2D96" w:rsidRDefault="008F2D96" w:rsidP="008F2D96">
            <w:pPr>
              <w:spacing w:line="276" w:lineRule="auto"/>
              <w:ind w:right="120"/>
              <w:jc w:val="right"/>
              <w:rPr>
                <w:rFonts w:ascii="Times New Roman" w:hAnsi="Times New Roman" w:cs="Times New Roman"/>
                <w:b/>
                <w:bCs/>
                <w:lang w:val="en-US"/>
              </w:rPr>
            </w:pPr>
            <w:r w:rsidRPr="008F2D96">
              <w:rPr>
                <w:rFonts w:ascii="Times New Roman" w:hAnsi="Times New Roman" w:cs="Times New Roman"/>
                <w:b/>
                <w:bCs/>
                <w:lang w:val="en-US"/>
              </w:rPr>
              <w:t>RM</w:t>
            </w:r>
          </w:p>
        </w:tc>
      </w:tr>
      <w:tr w:rsidR="008F2D96" w:rsidRPr="008F2D96" w14:paraId="5D26EA12" w14:textId="77777777" w:rsidTr="008F2D96">
        <w:tc>
          <w:tcPr>
            <w:tcW w:w="5245" w:type="dxa"/>
          </w:tcPr>
          <w:p w14:paraId="3BEB0537" w14:textId="1149C211" w:rsidR="008F2D96" w:rsidRPr="008F2D96" w:rsidRDefault="008F2D96" w:rsidP="008F2D96">
            <w:pPr>
              <w:spacing w:line="276" w:lineRule="auto"/>
              <w:rPr>
                <w:rFonts w:ascii="Times New Roman" w:hAnsi="Times New Roman" w:cs="Times New Roman"/>
                <w:lang w:val="en-US"/>
              </w:rPr>
            </w:pPr>
            <w:r w:rsidRPr="008F2D96">
              <w:rPr>
                <w:rFonts w:ascii="Times New Roman" w:hAnsi="Times New Roman" w:cs="Times New Roman"/>
                <w:lang w:val="en-US"/>
              </w:rPr>
              <w:t>Machinery</w:t>
            </w:r>
          </w:p>
        </w:tc>
        <w:tc>
          <w:tcPr>
            <w:tcW w:w="1418" w:type="dxa"/>
          </w:tcPr>
          <w:p w14:paraId="4233ED64" w14:textId="1126B653" w:rsidR="008F2D96" w:rsidRPr="008F2D96" w:rsidRDefault="008F2D96" w:rsidP="008F2D96">
            <w:pPr>
              <w:spacing w:line="276" w:lineRule="auto"/>
              <w:jc w:val="right"/>
              <w:rPr>
                <w:rFonts w:ascii="Times New Roman" w:hAnsi="Times New Roman" w:cs="Times New Roman"/>
                <w:lang w:val="en-US"/>
              </w:rPr>
            </w:pPr>
            <w:r w:rsidRPr="008F2D96">
              <w:rPr>
                <w:rFonts w:ascii="Times New Roman" w:hAnsi="Times New Roman" w:cs="Times New Roman"/>
                <w:lang w:val="en-US"/>
              </w:rPr>
              <w:t>16,000</w:t>
            </w:r>
          </w:p>
        </w:tc>
      </w:tr>
      <w:tr w:rsidR="008F2D96" w:rsidRPr="008F2D96" w14:paraId="56F531A7" w14:textId="77777777" w:rsidTr="008F2D96">
        <w:tc>
          <w:tcPr>
            <w:tcW w:w="5245" w:type="dxa"/>
          </w:tcPr>
          <w:p w14:paraId="38EE9F16" w14:textId="222A542C" w:rsidR="008F2D96" w:rsidRPr="008F2D96" w:rsidRDefault="008F2D96" w:rsidP="008F2D96">
            <w:pPr>
              <w:spacing w:line="276" w:lineRule="auto"/>
              <w:rPr>
                <w:rFonts w:ascii="Times New Roman" w:hAnsi="Times New Roman" w:cs="Times New Roman"/>
                <w:lang w:val="en-US"/>
              </w:rPr>
            </w:pPr>
            <w:r w:rsidRPr="008F2D96">
              <w:rPr>
                <w:rFonts w:ascii="Times New Roman" w:hAnsi="Times New Roman" w:cs="Times New Roman"/>
                <w:lang w:val="en-US"/>
              </w:rPr>
              <w:t>Accumulated Depreciation</w:t>
            </w:r>
          </w:p>
        </w:tc>
        <w:tc>
          <w:tcPr>
            <w:tcW w:w="1418" w:type="dxa"/>
          </w:tcPr>
          <w:p w14:paraId="3559F412" w14:textId="21135F28" w:rsidR="008F2D96" w:rsidRPr="008F2D96" w:rsidRDefault="008F2D96" w:rsidP="008F2D96">
            <w:pPr>
              <w:spacing w:line="276" w:lineRule="auto"/>
              <w:jc w:val="right"/>
              <w:rPr>
                <w:rFonts w:ascii="Times New Roman" w:hAnsi="Times New Roman" w:cs="Times New Roman"/>
                <w:lang w:val="en-US"/>
              </w:rPr>
            </w:pPr>
            <w:r w:rsidRPr="008F2D96">
              <w:rPr>
                <w:rFonts w:ascii="Times New Roman" w:hAnsi="Times New Roman" w:cs="Times New Roman"/>
                <w:lang w:val="en-US"/>
              </w:rPr>
              <w:t>4,200</w:t>
            </w:r>
          </w:p>
        </w:tc>
      </w:tr>
      <w:tr w:rsidR="008F2D96" w:rsidRPr="008F2D96" w14:paraId="3AC748F1" w14:textId="77777777" w:rsidTr="008F2D96">
        <w:tc>
          <w:tcPr>
            <w:tcW w:w="5245" w:type="dxa"/>
          </w:tcPr>
          <w:p w14:paraId="177EA8B7" w14:textId="1409B72A" w:rsidR="008F2D96" w:rsidRPr="008F2D96" w:rsidRDefault="008F2D96" w:rsidP="008F2D96">
            <w:pPr>
              <w:spacing w:line="276" w:lineRule="auto"/>
              <w:rPr>
                <w:rFonts w:ascii="Times New Roman" w:hAnsi="Times New Roman" w:cs="Times New Roman"/>
                <w:lang w:val="en-US"/>
              </w:rPr>
            </w:pPr>
            <w:r w:rsidRPr="008F2D96">
              <w:rPr>
                <w:rFonts w:ascii="Times New Roman" w:hAnsi="Times New Roman" w:cs="Times New Roman"/>
                <w:lang w:val="en-US"/>
              </w:rPr>
              <w:t>Premises</w:t>
            </w:r>
          </w:p>
        </w:tc>
        <w:tc>
          <w:tcPr>
            <w:tcW w:w="1418" w:type="dxa"/>
          </w:tcPr>
          <w:p w14:paraId="711B2E2C" w14:textId="1AD17C56" w:rsidR="008F2D96" w:rsidRPr="008F2D96" w:rsidRDefault="008F2D96" w:rsidP="008F2D96">
            <w:pPr>
              <w:spacing w:line="276" w:lineRule="auto"/>
              <w:jc w:val="right"/>
              <w:rPr>
                <w:rFonts w:ascii="Times New Roman" w:hAnsi="Times New Roman" w:cs="Times New Roman"/>
                <w:lang w:val="en-US"/>
              </w:rPr>
            </w:pPr>
            <w:r w:rsidRPr="008F2D96">
              <w:rPr>
                <w:rFonts w:ascii="Times New Roman" w:hAnsi="Times New Roman" w:cs="Times New Roman"/>
                <w:lang w:val="en-US"/>
              </w:rPr>
              <w:t>38,000</w:t>
            </w:r>
          </w:p>
        </w:tc>
      </w:tr>
      <w:tr w:rsidR="008F2D96" w:rsidRPr="008F2D96" w14:paraId="6A1FBE3B" w14:textId="77777777" w:rsidTr="008F2D96">
        <w:tc>
          <w:tcPr>
            <w:tcW w:w="5245" w:type="dxa"/>
          </w:tcPr>
          <w:p w14:paraId="0A46223E" w14:textId="585B7720" w:rsidR="008F2D96" w:rsidRPr="008F2D96" w:rsidRDefault="008F2D96" w:rsidP="008F2D96">
            <w:pPr>
              <w:spacing w:line="276" w:lineRule="auto"/>
              <w:rPr>
                <w:rFonts w:ascii="Times New Roman" w:hAnsi="Times New Roman" w:cs="Times New Roman"/>
                <w:lang w:val="en-US"/>
              </w:rPr>
            </w:pPr>
            <w:r w:rsidRPr="008F2D96">
              <w:rPr>
                <w:rFonts w:ascii="Times New Roman" w:hAnsi="Times New Roman" w:cs="Times New Roman"/>
                <w:lang w:val="en-US"/>
              </w:rPr>
              <w:t>Inventory</w:t>
            </w:r>
          </w:p>
        </w:tc>
        <w:tc>
          <w:tcPr>
            <w:tcW w:w="1418" w:type="dxa"/>
          </w:tcPr>
          <w:p w14:paraId="3F9C4C16" w14:textId="5617CFB9" w:rsidR="008F2D96" w:rsidRPr="008F2D96" w:rsidRDefault="008F2D96" w:rsidP="008F2D96">
            <w:pPr>
              <w:spacing w:line="276" w:lineRule="auto"/>
              <w:jc w:val="right"/>
              <w:rPr>
                <w:rFonts w:ascii="Times New Roman" w:hAnsi="Times New Roman" w:cs="Times New Roman"/>
                <w:lang w:val="en-US"/>
              </w:rPr>
            </w:pPr>
            <w:r w:rsidRPr="008F2D96">
              <w:rPr>
                <w:rFonts w:ascii="Times New Roman" w:hAnsi="Times New Roman" w:cs="Times New Roman"/>
                <w:lang w:val="en-US"/>
              </w:rPr>
              <w:t>3,400</w:t>
            </w:r>
          </w:p>
        </w:tc>
      </w:tr>
      <w:tr w:rsidR="008F2D96" w:rsidRPr="008F2D96" w14:paraId="587A6307" w14:textId="77777777" w:rsidTr="008F2D96">
        <w:tc>
          <w:tcPr>
            <w:tcW w:w="5245" w:type="dxa"/>
          </w:tcPr>
          <w:p w14:paraId="5ED1E042" w14:textId="740290AC" w:rsidR="008F2D96" w:rsidRPr="008F2D96" w:rsidRDefault="008F2D96" w:rsidP="008F2D96">
            <w:pPr>
              <w:spacing w:line="276" w:lineRule="auto"/>
              <w:rPr>
                <w:rFonts w:ascii="Times New Roman" w:hAnsi="Times New Roman" w:cs="Times New Roman"/>
                <w:lang w:val="en-US"/>
              </w:rPr>
            </w:pPr>
            <w:r w:rsidRPr="008F2D96">
              <w:rPr>
                <w:rFonts w:ascii="Times New Roman" w:hAnsi="Times New Roman" w:cs="Times New Roman"/>
                <w:lang w:val="en-US"/>
              </w:rPr>
              <w:t>Bank Overdraft</w:t>
            </w:r>
          </w:p>
        </w:tc>
        <w:tc>
          <w:tcPr>
            <w:tcW w:w="1418" w:type="dxa"/>
          </w:tcPr>
          <w:p w14:paraId="3495235C" w14:textId="1CC28239" w:rsidR="008F2D96" w:rsidRPr="008F2D96" w:rsidRDefault="008F2D96" w:rsidP="008F2D96">
            <w:pPr>
              <w:spacing w:line="276" w:lineRule="auto"/>
              <w:jc w:val="right"/>
              <w:rPr>
                <w:rFonts w:ascii="Times New Roman" w:hAnsi="Times New Roman" w:cs="Times New Roman"/>
                <w:lang w:val="en-US"/>
              </w:rPr>
            </w:pPr>
            <w:r w:rsidRPr="008F2D96">
              <w:rPr>
                <w:rFonts w:ascii="Times New Roman" w:hAnsi="Times New Roman" w:cs="Times New Roman"/>
                <w:lang w:val="en-US"/>
              </w:rPr>
              <w:t>8,680</w:t>
            </w:r>
          </w:p>
        </w:tc>
      </w:tr>
      <w:tr w:rsidR="008F2D96" w:rsidRPr="008F2D96" w14:paraId="322EFEA2" w14:textId="77777777" w:rsidTr="008F2D96">
        <w:tc>
          <w:tcPr>
            <w:tcW w:w="5245" w:type="dxa"/>
          </w:tcPr>
          <w:p w14:paraId="6A35DEE1" w14:textId="0F442D48" w:rsidR="008F2D96" w:rsidRPr="008F2D96" w:rsidRDefault="008F2D96" w:rsidP="008F2D96">
            <w:pPr>
              <w:spacing w:line="276" w:lineRule="auto"/>
              <w:rPr>
                <w:rFonts w:ascii="Times New Roman" w:hAnsi="Times New Roman" w:cs="Times New Roman"/>
                <w:lang w:val="en-US"/>
              </w:rPr>
            </w:pPr>
            <w:r w:rsidRPr="008F2D96">
              <w:rPr>
                <w:rFonts w:ascii="Times New Roman" w:hAnsi="Times New Roman" w:cs="Times New Roman"/>
                <w:lang w:val="en-US"/>
              </w:rPr>
              <w:t>Accounts Payable</w:t>
            </w:r>
          </w:p>
        </w:tc>
        <w:tc>
          <w:tcPr>
            <w:tcW w:w="1418" w:type="dxa"/>
          </w:tcPr>
          <w:p w14:paraId="2FB447B0" w14:textId="225D732F" w:rsidR="008F2D96" w:rsidRPr="008F2D96" w:rsidRDefault="008F2D96" w:rsidP="008F2D96">
            <w:pPr>
              <w:spacing w:line="276" w:lineRule="auto"/>
              <w:jc w:val="right"/>
              <w:rPr>
                <w:rFonts w:ascii="Times New Roman" w:hAnsi="Times New Roman" w:cs="Times New Roman"/>
                <w:lang w:val="en-US"/>
              </w:rPr>
            </w:pPr>
            <w:r w:rsidRPr="008F2D96">
              <w:rPr>
                <w:rFonts w:ascii="Times New Roman" w:hAnsi="Times New Roman" w:cs="Times New Roman"/>
                <w:lang w:val="en-US"/>
              </w:rPr>
              <w:t>9,400</w:t>
            </w:r>
          </w:p>
        </w:tc>
      </w:tr>
      <w:tr w:rsidR="008F2D96" w:rsidRPr="008F2D96" w14:paraId="42671ADC" w14:textId="77777777" w:rsidTr="008F2D96">
        <w:tc>
          <w:tcPr>
            <w:tcW w:w="5245" w:type="dxa"/>
          </w:tcPr>
          <w:p w14:paraId="4FEB6292" w14:textId="361670EE" w:rsidR="008F2D96" w:rsidRPr="008F2D96" w:rsidRDefault="008F2D96" w:rsidP="008F2D96">
            <w:pPr>
              <w:spacing w:line="276" w:lineRule="auto"/>
              <w:rPr>
                <w:rFonts w:ascii="Times New Roman" w:hAnsi="Times New Roman" w:cs="Times New Roman"/>
                <w:lang w:val="en-US"/>
              </w:rPr>
            </w:pPr>
            <w:r w:rsidRPr="008F2D96">
              <w:rPr>
                <w:rFonts w:ascii="Times New Roman" w:hAnsi="Times New Roman" w:cs="Times New Roman"/>
                <w:lang w:val="en-US"/>
              </w:rPr>
              <w:t>Accounts Receivable</w:t>
            </w:r>
          </w:p>
        </w:tc>
        <w:tc>
          <w:tcPr>
            <w:tcW w:w="1418" w:type="dxa"/>
          </w:tcPr>
          <w:p w14:paraId="14314D17" w14:textId="65C81242" w:rsidR="008F2D96" w:rsidRPr="008F2D96" w:rsidRDefault="008F2D96" w:rsidP="008F2D96">
            <w:pPr>
              <w:spacing w:line="276" w:lineRule="auto"/>
              <w:jc w:val="right"/>
              <w:rPr>
                <w:rFonts w:ascii="Times New Roman" w:hAnsi="Times New Roman" w:cs="Times New Roman"/>
                <w:lang w:val="en-US"/>
              </w:rPr>
            </w:pPr>
            <w:r w:rsidRPr="008F2D96">
              <w:rPr>
                <w:rFonts w:ascii="Times New Roman" w:hAnsi="Times New Roman" w:cs="Times New Roman"/>
                <w:lang w:val="en-US"/>
              </w:rPr>
              <w:t>2,580</w:t>
            </w:r>
          </w:p>
        </w:tc>
      </w:tr>
    </w:tbl>
    <w:p w14:paraId="3454D25A" w14:textId="77777777" w:rsidR="00F15B75" w:rsidRDefault="00F15B75" w:rsidP="008F2D96">
      <w:pPr>
        <w:spacing w:line="276" w:lineRule="auto"/>
        <w:rPr>
          <w:rFonts w:ascii="Times New Roman" w:hAnsi="Times New Roman" w:cs="Times New Roman"/>
          <w:lang w:val="en-US"/>
        </w:rPr>
      </w:pPr>
    </w:p>
    <w:p w14:paraId="1B0E7186" w14:textId="6C952D6D" w:rsidR="008F2D96" w:rsidRDefault="008F2D96" w:rsidP="008F2D96">
      <w:pPr>
        <w:spacing w:line="276" w:lineRule="auto"/>
        <w:rPr>
          <w:rFonts w:ascii="Times New Roman" w:hAnsi="Times New Roman" w:cs="Times New Roman"/>
          <w:lang w:val="en-US"/>
        </w:rPr>
      </w:pPr>
      <w:r>
        <w:rPr>
          <w:rFonts w:ascii="Times New Roman" w:hAnsi="Times New Roman" w:cs="Times New Roman"/>
          <w:lang w:val="en-US"/>
        </w:rPr>
        <w:t>There were no balances on the partners’ current accounts, as these had been transferred to their capital accounts prior to dissolution.</w:t>
      </w:r>
    </w:p>
    <w:p w14:paraId="32B7635E" w14:textId="330B5826" w:rsidR="008F2D96" w:rsidRDefault="008F2D96" w:rsidP="008F2D96">
      <w:pPr>
        <w:spacing w:line="276" w:lineRule="auto"/>
        <w:rPr>
          <w:rFonts w:ascii="Times New Roman" w:hAnsi="Times New Roman" w:cs="Times New Roman"/>
          <w:lang w:val="en-US"/>
        </w:rPr>
      </w:pPr>
      <w:r>
        <w:rPr>
          <w:rFonts w:ascii="Times New Roman" w:hAnsi="Times New Roman" w:cs="Times New Roman"/>
          <w:lang w:val="en-US"/>
        </w:rPr>
        <w:t>On 31 August 2022, the capital account balances were:</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418"/>
      </w:tblGrid>
      <w:tr w:rsidR="008F2D96" w14:paraId="74F48FC1" w14:textId="77777777" w:rsidTr="008F2D96">
        <w:tc>
          <w:tcPr>
            <w:tcW w:w="5103" w:type="dxa"/>
          </w:tcPr>
          <w:p w14:paraId="33BCF536" w14:textId="77777777" w:rsidR="008F2D96" w:rsidRDefault="008F2D96" w:rsidP="008F2D96">
            <w:pPr>
              <w:spacing w:line="276" w:lineRule="auto"/>
              <w:rPr>
                <w:rFonts w:ascii="Times New Roman" w:hAnsi="Times New Roman" w:cs="Times New Roman"/>
                <w:lang w:val="en-US"/>
              </w:rPr>
            </w:pPr>
          </w:p>
        </w:tc>
        <w:tc>
          <w:tcPr>
            <w:tcW w:w="1418" w:type="dxa"/>
          </w:tcPr>
          <w:p w14:paraId="7317D934" w14:textId="5BDA741E" w:rsidR="008F2D96" w:rsidRPr="008F2D96" w:rsidRDefault="008F2D96" w:rsidP="008F2D96">
            <w:pPr>
              <w:spacing w:line="276" w:lineRule="auto"/>
              <w:jc w:val="center"/>
              <w:rPr>
                <w:rFonts w:ascii="Times New Roman" w:hAnsi="Times New Roman" w:cs="Times New Roman"/>
                <w:b/>
                <w:bCs/>
                <w:lang w:val="en-US"/>
              </w:rPr>
            </w:pPr>
            <w:r w:rsidRPr="008F2D96">
              <w:rPr>
                <w:rFonts w:ascii="Times New Roman" w:hAnsi="Times New Roman" w:cs="Times New Roman"/>
                <w:b/>
                <w:bCs/>
                <w:lang w:val="en-US"/>
              </w:rPr>
              <w:t>RM</w:t>
            </w:r>
          </w:p>
        </w:tc>
      </w:tr>
      <w:tr w:rsidR="008F2D96" w14:paraId="6F1C19A0" w14:textId="77777777" w:rsidTr="008F2D96">
        <w:tc>
          <w:tcPr>
            <w:tcW w:w="5103" w:type="dxa"/>
          </w:tcPr>
          <w:p w14:paraId="653BE6A8" w14:textId="4BCDAB55" w:rsidR="008F2D96" w:rsidRDefault="008F2D96" w:rsidP="008F2D96">
            <w:pPr>
              <w:spacing w:line="276" w:lineRule="auto"/>
              <w:rPr>
                <w:rFonts w:ascii="Times New Roman" w:hAnsi="Times New Roman" w:cs="Times New Roman"/>
                <w:lang w:val="en-US"/>
              </w:rPr>
            </w:pPr>
            <w:r>
              <w:rPr>
                <w:rFonts w:ascii="Times New Roman" w:hAnsi="Times New Roman" w:cs="Times New Roman"/>
                <w:lang w:val="en-US"/>
              </w:rPr>
              <w:t>Bing (Credit balance)</w:t>
            </w:r>
          </w:p>
        </w:tc>
        <w:tc>
          <w:tcPr>
            <w:tcW w:w="1418" w:type="dxa"/>
          </w:tcPr>
          <w:p w14:paraId="460CAB80" w14:textId="1BD75A14" w:rsidR="008F2D96" w:rsidRPr="008F2D96" w:rsidRDefault="008F2D96" w:rsidP="008F2D96">
            <w:pPr>
              <w:spacing w:line="276" w:lineRule="auto"/>
              <w:jc w:val="center"/>
              <w:rPr>
                <w:rFonts w:ascii="Times New Roman" w:hAnsi="Times New Roman" w:cs="Times New Roman"/>
                <w:lang w:val="en-US"/>
              </w:rPr>
            </w:pPr>
            <w:r w:rsidRPr="008F2D96">
              <w:rPr>
                <w:rFonts w:ascii="Times New Roman" w:hAnsi="Times New Roman" w:cs="Times New Roman"/>
                <w:lang w:val="en-US"/>
              </w:rPr>
              <w:t>20,000</w:t>
            </w:r>
          </w:p>
        </w:tc>
      </w:tr>
      <w:tr w:rsidR="008F2D96" w14:paraId="25A08311" w14:textId="77777777" w:rsidTr="008F2D96">
        <w:tc>
          <w:tcPr>
            <w:tcW w:w="5103" w:type="dxa"/>
          </w:tcPr>
          <w:p w14:paraId="240FFDF2" w14:textId="2A9EB94B" w:rsidR="008F2D96" w:rsidRDefault="008F2D96" w:rsidP="008F2D96">
            <w:pPr>
              <w:spacing w:line="276" w:lineRule="auto"/>
              <w:rPr>
                <w:rFonts w:ascii="Times New Roman" w:hAnsi="Times New Roman" w:cs="Times New Roman"/>
                <w:lang w:val="en-US"/>
              </w:rPr>
            </w:pPr>
            <w:r>
              <w:rPr>
                <w:rFonts w:ascii="Times New Roman" w:hAnsi="Times New Roman" w:cs="Times New Roman"/>
                <w:lang w:val="en-US"/>
              </w:rPr>
              <w:t>Qi (Credit balance)</w:t>
            </w:r>
          </w:p>
        </w:tc>
        <w:tc>
          <w:tcPr>
            <w:tcW w:w="1418" w:type="dxa"/>
          </w:tcPr>
          <w:p w14:paraId="148DF945" w14:textId="3334F038" w:rsidR="008F2D96" w:rsidRPr="008F2D96" w:rsidRDefault="008F2D96" w:rsidP="008F2D96">
            <w:pPr>
              <w:spacing w:line="276" w:lineRule="auto"/>
              <w:jc w:val="center"/>
              <w:rPr>
                <w:rFonts w:ascii="Times New Roman" w:hAnsi="Times New Roman" w:cs="Times New Roman"/>
                <w:lang w:val="en-US"/>
              </w:rPr>
            </w:pPr>
            <w:r w:rsidRPr="008F2D96">
              <w:rPr>
                <w:rFonts w:ascii="Times New Roman" w:hAnsi="Times New Roman" w:cs="Times New Roman"/>
                <w:lang w:val="en-US"/>
              </w:rPr>
              <w:t>20,000</w:t>
            </w:r>
          </w:p>
        </w:tc>
      </w:tr>
      <w:tr w:rsidR="008F2D96" w14:paraId="34880AD9" w14:textId="77777777" w:rsidTr="008F2D96">
        <w:tc>
          <w:tcPr>
            <w:tcW w:w="5103" w:type="dxa"/>
          </w:tcPr>
          <w:p w14:paraId="19D0E318" w14:textId="0CDC6C96" w:rsidR="008F2D96" w:rsidRDefault="008F2D96" w:rsidP="008F2D96">
            <w:pPr>
              <w:spacing w:line="276" w:lineRule="auto"/>
              <w:rPr>
                <w:rFonts w:ascii="Times New Roman" w:hAnsi="Times New Roman" w:cs="Times New Roman"/>
                <w:lang w:val="en-US"/>
              </w:rPr>
            </w:pPr>
            <w:r>
              <w:rPr>
                <w:rFonts w:ascii="Times New Roman" w:hAnsi="Times New Roman" w:cs="Times New Roman"/>
                <w:lang w:val="en-US"/>
              </w:rPr>
              <w:t>Lin (Debit balance)</w:t>
            </w:r>
          </w:p>
        </w:tc>
        <w:tc>
          <w:tcPr>
            <w:tcW w:w="1418" w:type="dxa"/>
          </w:tcPr>
          <w:p w14:paraId="7DA4C0DE" w14:textId="3347FAFB" w:rsidR="008F2D96" w:rsidRPr="008F2D96" w:rsidRDefault="008F2D96" w:rsidP="008F2D96">
            <w:pPr>
              <w:spacing w:line="276" w:lineRule="auto"/>
              <w:jc w:val="center"/>
              <w:rPr>
                <w:rFonts w:ascii="Times New Roman" w:hAnsi="Times New Roman" w:cs="Times New Roman"/>
                <w:lang w:val="en-US"/>
              </w:rPr>
            </w:pPr>
            <w:r>
              <w:rPr>
                <w:rFonts w:ascii="Times New Roman" w:hAnsi="Times New Roman" w:cs="Times New Roman"/>
                <w:lang w:val="en-US"/>
              </w:rPr>
              <w:t xml:space="preserve">  </w:t>
            </w:r>
            <w:r w:rsidRPr="008F2D96">
              <w:rPr>
                <w:rFonts w:ascii="Times New Roman" w:hAnsi="Times New Roman" w:cs="Times New Roman"/>
                <w:lang w:val="en-US"/>
              </w:rPr>
              <w:t>2,300</w:t>
            </w:r>
          </w:p>
        </w:tc>
      </w:tr>
    </w:tbl>
    <w:p w14:paraId="02AC7613" w14:textId="77777777" w:rsidR="008F2D96" w:rsidRDefault="008F2D96" w:rsidP="008F2D96">
      <w:pPr>
        <w:spacing w:line="276" w:lineRule="auto"/>
        <w:rPr>
          <w:rFonts w:ascii="Times New Roman" w:hAnsi="Times New Roman" w:cs="Times New Roman"/>
          <w:lang w:val="en-US"/>
        </w:rPr>
      </w:pPr>
    </w:p>
    <w:p w14:paraId="09CE8DA0" w14:textId="37B2AEA8" w:rsidR="008F2D96" w:rsidRPr="00F15B75" w:rsidRDefault="008F2D96" w:rsidP="008F2D96">
      <w:pPr>
        <w:spacing w:line="276" w:lineRule="auto"/>
        <w:rPr>
          <w:rFonts w:ascii="Times New Roman" w:hAnsi="Times New Roman" w:cs="Times New Roman"/>
          <w:b/>
          <w:bCs/>
          <w:lang w:val="en-US"/>
        </w:rPr>
      </w:pPr>
      <w:r w:rsidRPr="00F15B75">
        <w:rPr>
          <w:rFonts w:ascii="Times New Roman" w:hAnsi="Times New Roman" w:cs="Times New Roman"/>
          <w:b/>
          <w:bCs/>
          <w:lang w:val="en-US"/>
        </w:rPr>
        <w:t>The following information is also available:</w:t>
      </w:r>
    </w:p>
    <w:p w14:paraId="15BCBC03" w14:textId="64C039D0" w:rsidR="008F2D96" w:rsidRDefault="008F2D96" w:rsidP="008F2D96">
      <w:pPr>
        <w:pStyle w:val="ListParagraph"/>
        <w:numPr>
          <w:ilvl w:val="0"/>
          <w:numId w:val="1"/>
        </w:numPr>
        <w:spacing w:line="276" w:lineRule="auto"/>
        <w:ind w:left="567" w:hanging="567"/>
        <w:rPr>
          <w:rFonts w:ascii="Times New Roman" w:hAnsi="Times New Roman" w:cs="Times New Roman"/>
          <w:lang w:val="en-US"/>
        </w:rPr>
      </w:pPr>
      <w:r w:rsidRPr="008F2D96">
        <w:rPr>
          <w:rFonts w:ascii="Times New Roman" w:hAnsi="Times New Roman" w:cs="Times New Roman"/>
          <w:lang w:val="en-US"/>
        </w:rPr>
        <w:t xml:space="preserve">One of the </w:t>
      </w:r>
      <w:r w:rsidRPr="008F2D96">
        <w:rPr>
          <w:rFonts w:ascii="Times New Roman" w:hAnsi="Times New Roman" w:cs="Times New Roman"/>
          <w:lang w:val="en-US"/>
        </w:rPr>
        <w:t>machineries</w:t>
      </w:r>
      <w:r w:rsidRPr="008F2D96">
        <w:rPr>
          <w:rFonts w:ascii="Times New Roman" w:hAnsi="Times New Roman" w:cs="Times New Roman"/>
          <w:lang w:val="en-US"/>
        </w:rPr>
        <w:t xml:space="preserve"> was taken over by Bing at RM6,240. The remaining machinery were sold for RM7,400.</w:t>
      </w:r>
    </w:p>
    <w:p w14:paraId="128E5B9A" w14:textId="60B4CF94" w:rsidR="008F2D96" w:rsidRDefault="008F2D96" w:rsidP="008F2D96">
      <w:pPr>
        <w:pStyle w:val="ListParagraph"/>
        <w:numPr>
          <w:ilvl w:val="0"/>
          <w:numId w:val="1"/>
        </w:numPr>
        <w:spacing w:line="276" w:lineRule="auto"/>
        <w:ind w:left="567" w:hanging="567"/>
        <w:rPr>
          <w:rFonts w:ascii="Times New Roman" w:hAnsi="Times New Roman" w:cs="Times New Roman"/>
          <w:lang w:val="en-US"/>
        </w:rPr>
      </w:pPr>
      <w:r w:rsidRPr="008F2D96">
        <w:rPr>
          <w:rFonts w:ascii="Times New Roman" w:hAnsi="Times New Roman" w:cs="Times New Roman"/>
          <w:lang w:val="en-US"/>
        </w:rPr>
        <w:t>Premises was sold on credit to Walls Ltd for RM30.000. The amount was settled by the issue of 15,000 ordinary shares of RM2 each in Walls Ltd. The partners agreed to divide the shares between them equally</w:t>
      </w:r>
      <w:r>
        <w:rPr>
          <w:rFonts w:ascii="Times New Roman" w:hAnsi="Times New Roman" w:cs="Times New Roman"/>
          <w:lang w:val="en-US"/>
        </w:rPr>
        <w:t>.</w:t>
      </w:r>
    </w:p>
    <w:p w14:paraId="08FE37F6" w14:textId="46FBDABA" w:rsidR="008F2D96" w:rsidRDefault="008F2D96" w:rsidP="008F2D96">
      <w:pPr>
        <w:pStyle w:val="ListParagraph"/>
        <w:numPr>
          <w:ilvl w:val="0"/>
          <w:numId w:val="1"/>
        </w:numPr>
        <w:spacing w:line="276" w:lineRule="auto"/>
        <w:ind w:left="567" w:hanging="567"/>
        <w:rPr>
          <w:rFonts w:ascii="Times New Roman" w:hAnsi="Times New Roman" w:cs="Times New Roman"/>
          <w:lang w:val="en-US"/>
        </w:rPr>
      </w:pPr>
      <w:r w:rsidRPr="008F2D96">
        <w:rPr>
          <w:rFonts w:ascii="Times New Roman" w:hAnsi="Times New Roman" w:cs="Times New Roman"/>
          <w:lang w:val="en-US"/>
        </w:rPr>
        <w:t>Apart from the spoilt inventory of RM400 which can't be sold, all other inventory was / sold for RM2.000.</w:t>
      </w:r>
    </w:p>
    <w:p w14:paraId="547E5ECB" w14:textId="26B8CE22" w:rsidR="008F2D96" w:rsidRDefault="008F2D96" w:rsidP="008F2D96">
      <w:pPr>
        <w:pStyle w:val="ListParagraph"/>
        <w:numPr>
          <w:ilvl w:val="0"/>
          <w:numId w:val="1"/>
        </w:numPr>
        <w:spacing w:line="276" w:lineRule="auto"/>
        <w:ind w:left="567" w:hanging="567"/>
        <w:rPr>
          <w:rFonts w:ascii="Times New Roman" w:hAnsi="Times New Roman" w:cs="Times New Roman"/>
          <w:lang w:val="en-US"/>
        </w:rPr>
      </w:pPr>
      <w:r w:rsidRPr="008F2D96">
        <w:rPr>
          <w:rFonts w:ascii="Times New Roman" w:hAnsi="Times New Roman" w:cs="Times New Roman"/>
          <w:lang w:val="en-US"/>
        </w:rPr>
        <w:t>Accounts Receivable paid in full except for a debt of RM180 which was irrecoverable.</w:t>
      </w:r>
    </w:p>
    <w:p w14:paraId="1FAA0008" w14:textId="2B3C98DD" w:rsidR="008F2D96" w:rsidRDefault="008F2D96" w:rsidP="008F2D96">
      <w:pPr>
        <w:pStyle w:val="ListParagraph"/>
        <w:numPr>
          <w:ilvl w:val="0"/>
          <w:numId w:val="1"/>
        </w:numPr>
        <w:spacing w:line="276" w:lineRule="auto"/>
        <w:ind w:left="567" w:hanging="567"/>
        <w:rPr>
          <w:rFonts w:ascii="Times New Roman" w:hAnsi="Times New Roman" w:cs="Times New Roman"/>
          <w:lang w:val="en-US"/>
        </w:rPr>
      </w:pPr>
      <w:r w:rsidRPr="008F2D96">
        <w:rPr>
          <w:rFonts w:ascii="Times New Roman" w:hAnsi="Times New Roman" w:cs="Times New Roman"/>
          <w:lang w:val="en-US"/>
        </w:rPr>
        <w:t>Accounts Payable agreed to give the partnership a 10% discount because all debts were settled immediately.</w:t>
      </w:r>
    </w:p>
    <w:p w14:paraId="645D2D6D" w14:textId="129A0F09" w:rsidR="008F2D96" w:rsidRDefault="00FD481F" w:rsidP="008F2D96">
      <w:pPr>
        <w:pStyle w:val="ListParagraph"/>
        <w:numPr>
          <w:ilvl w:val="0"/>
          <w:numId w:val="1"/>
        </w:numPr>
        <w:spacing w:line="276" w:lineRule="auto"/>
        <w:ind w:left="567" w:hanging="567"/>
        <w:rPr>
          <w:rFonts w:ascii="Times New Roman" w:hAnsi="Times New Roman" w:cs="Times New Roman"/>
          <w:lang w:val="en-US"/>
        </w:rPr>
      </w:pPr>
      <w:r w:rsidRPr="008F2D96">
        <w:rPr>
          <w:rFonts w:ascii="Times New Roman" w:hAnsi="Times New Roman" w:cs="Times New Roman"/>
          <w:lang w:val="en-US"/>
        </w:rPr>
        <w:t>During</w:t>
      </w:r>
      <w:r w:rsidR="008F2D96" w:rsidRPr="008F2D96">
        <w:rPr>
          <w:rFonts w:ascii="Times New Roman" w:hAnsi="Times New Roman" w:cs="Times New Roman"/>
          <w:lang w:val="en-US"/>
        </w:rPr>
        <w:t xml:space="preserve"> dissolution, the partnership discovered that an electricity bill of RM15</w:t>
      </w:r>
      <w:r w:rsidR="008F2D96">
        <w:rPr>
          <w:rFonts w:ascii="Times New Roman" w:hAnsi="Times New Roman" w:cs="Times New Roman"/>
          <w:lang w:val="en-US"/>
        </w:rPr>
        <w:t>0</w:t>
      </w:r>
      <w:r w:rsidR="008F2D96" w:rsidRPr="008F2D96">
        <w:rPr>
          <w:rFonts w:ascii="Times New Roman" w:hAnsi="Times New Roman" w:cs="Times New Roman"/>
          <w:lang w:val="en-US"/>
        </w:rPr>
        <w:t xml:space="preserve"> for the month of August 202 unpaid.</w:t>
      </w:r>
    </w:p>
    <w:p w14:paraId="0245E237" w14:textId="60A9FF0E" w:rsidR="008F2D96" w:rsidRDefault="008F2D96" w:rsidP="008F2D96">
      <w:pPr>
        <w:pStyle w:val="ListParagraph"/>
        <w:numPr>
          <w:ilvl w:val="0"/>
          <w:numId w:val="1"/>
        </w:numPr>
        <w:spacing w:line="276" w:lineRule="auto"/>
        <w:ind w:left="567" w:hanging="567"/>
        <w:rPr>
          <w:rFonts w:ascii="Times New Roman" w:hAnsi="Times New Roman" w:cs="Times New Roman"/>
          <w:lang w:val="en-US"/>
        </w:rPr>
      </w:pPr>
      <w:r w:rsidRPr="008F2D96">
        <w:rPr>
          <w:rFonts w:ascii="Times New Roman" w:hAnsi="Times New Roman" w:cs="Times New Roman"/>
          <w:lang w:val="en-US"/>
        </w:rPr>
        <w:t>The expenses of winding up amounted to RM250.</w:t>
      </w:r>
    </w:p>
    <w:p w14:paraId="0C6B2734" w14:textId="77777777" w:rsidR="00FD481F" w:rsidRDefault="00FD481F" w:rsidP="00FD481F">
      <w:pPr>
        <w:spacing w:line="276" w:lineRule="auto"/>
        <w:rPr>
          <w:rFonts w:ascii="Times New Roman" w:hAnsi="Times New Roman" w:cs="Times New Roman"/>
          <w:lang w:val="en-US"/>
        </w:rPr>
      </w:pPr>
    </w:p>
    <w:p w14:paraId="2B0823B6" w14:textId="6C204FC6" w:rsidR="00FD481F" w:rsidRDefault="00FD481F" w:rsidP="00FD481F">
      <w:pPr>
        <w:pStyle w:val="ListParagraph"/>
        <w:numPr>
          <w:ilvl w:val="0"/>
          <w:numId w:val="2"/>
        </w:numPr>
        <w:spacing w:line="276" w:lineRule="auto"/>
        <w:rPr>
          <w:rFonts w:ascii="Times New Roman" w:hAnsi="Times New Roman" w:cs="Times New Roman"/>
          <w:lang w:val="en-US"/>
        </w:rPr>
      </w:pPr>
      <w:r w:rsidRPr="00FD481F">
        <w:rPr>
          <w:rFonts w:ascii="Times New Roman" w:hAnsi="Times New Roman" w:cs="Times New Roman"/>
          <w:lang w:val="en-US"/>
        </w:rPr>
        <w:t>You are required to show the closing of</w:t>
      </w:r>
      <w:r>
        <w:rPr>
          <w:rFonts w:ascii="Times New Roman" w:hAnsi="Times New Roman" w:cs="Times New Roman"/>
          <w:lang w:val="en-US"/>
        </w:rPr>
        <w:t xml:space="preserve"> </w:t>
      </w:r>
      <w:r w:rsidRPr="00FD481F">
        <w:rPr>
          <w:rFonts w:ascii="Times New Roman" w:hAnsi="Times New Roman" w:cs="Times New Roman"/>
          <w:lang w:val="en-US"/>
        </w:rPr>
        <w:t>the partnership by preparing the following:</w:t>
      </w:r>
    </w:p>
    <w:p w14:paraId="569510A0" w14:textId="2390B521" w:rsidR="00FD481F" w:rsidRDefault="00FD481F" w:rsidP="00FD481F">
      <w:pPr>
        <w:pStyle w:val="ListParagraph"/>
        <w:numPr>
          <w:ilvl w:val="0"/>
          <w:numId w:val="3"/>
        </w:numPr>
        <w:spacing w:line="276" w:lineRule="auto"/>
        <w:rPr>
          <w:rFonts w:ascii="Times New Roman" w:hAnsi="Times New Roman" w:cs="Times New Roman"/>
          <w:lang w:val="en-US"/>
        </w:rPr>
      </w:pPr>
      <w:r>
        <w:rPr>
          <w:rFonts w:ascii="Times New Roman" w:hAnsi="Times New Roman" w:cs="Times New Roman"/>
          <w:lang w:val="en-US"/>
        </w:rPr>
        <w:t>Realization Account</w:t>
      </w:r>
    </w:p>
    <w:p w14:paraId="33FCDB9A" w14:textId="34EE35AC" w:rsidR="00FD481F" w:rsidRDefault="00FD481F" w:rsidP="00FD481F">
      <w:pPr>
        <w:pStyle w:val="ListParagraph"/>
        <w:numPr>
          <w:ilvl w:val="0"/>
          <w:numId w:val="3"/>
        </w:numPr>
        <w:spacing w:line="276" w:lineRule="auto"/>
        <w:rPr>
          <w:rFonts w:ascii="Times New Roman" w:hAnsi="Times New Roman" w:cs="Times New Roman"/>
          <w:lang w:val="en-US"/>
        </w:rPr>
      </w:pPr>
      <w:r>
        <w:rPr>
          <w:rFonts w:ascii="Times New Roman" w:hAnsi="Times New Roman" w:cs="Times New Roman"/>
          <w:lang w:val="en-US"/>
        </w:rPr>
        <w:t>Partners’ Capital accounts in columnar form</w:t>
      </w:r>
    </w:p>
    <w:p w14:paraId="6171D948" w14:textId="32CA4C65" w:rsidR="00FD481F" w:rsidRDefault="00FD481F" w:rsidP="00FD481F">
      <w:pPr>
        <w:pStyle w:val="ListParagraph"/>
        <w:numPr>
          <w:ilvl w:val="0"/>
          <w:numId w:val="3"/>
        </w:numPr>
        <w:spacing w:line="276" w:lineRule="auto"/>
        <w:rPr>
          <w:rFonts w:ascii="Times New Roman" w:hAnsi="Times New Roman" w:cs="Times New Roman"/>
          <w:lang w:val="en-US"/>
        </w:rPr>
      </w:pPr>
      <w:r>
        <w:rPr>
          <w:rFonts w:ascii="Times New Roman" w:hAnsi="Times New Roman" w:cs="Times New Roman"/>
          <w:lang w:val="en-US"/>
        </w:rPr>
        <w:t>Bank Account</w:t>
      </w:r>
    </w:p>
    <w:p w14:paraId="4D58A321" w14:textId="77777777" w:rsidR="00FD481F" w:rsidRDefault="00FD481F" w:rsidP="00FD481F">
      <w:pPr>
        <w:pStyle w:val="ListParagraph"/>
        <w:spacing w:line="276" w:lineRule="auto"/>
        <w:ind w:left="360"/>
        <w:rPr>
          <w:rFonts w:ascii="Times New Roman" w:hAnsi="Times New Roman" w:cs="Times New Roman"/>
          <w:lang w:val="en-US"/>
        </w:rPr>
      </w:pPr>
    </w:p>
    <w:p w14:paraId="06F0D5C2" w14:textId="1A30ADA8" w:rsidR="00FD481F" w:rsidRPr="00EC0A2A" w:rsidRDefault="00FD481F" w:rsidP="00EC0A2A">
      <w:pPr>
        <w:pStyle w:val="ListParagraph"/>
        <w:numPr>
          <w:ilvl w:val="0"/>
          <w:numId w:val="2"/>
        </w:numPr>
        <w:spacing w:line="276" w:lineRule="auto"/>
        <w:rPr>
          <w:rFonts w:ascii="Times New Roman" w:hAnsi="Times New Roman" w:cs="Times New Roman"/>
          <w:lang w:val="en-US"/>
        </w:rPr>
      </w:pPr>
      <w:r w:rsidRPr="00FD481F">
        <w:rPr>
          <w:rFonts w:ascii="Times New Roman" w:hAnsi="Times New Roman" w:cs="Times New Roman"/>
          <w:lang w:val="en-US"/>
        </w:rPr>
        <w:t>If</w:t>
      </w:r>
      <w:r>
        <w:rPr>
          <w:rFonts w:ascii="Times New Roman" w:hAnsi="Times New Roman" w:cs="Times New Roman"/>
          <w:lang w:val="en-US"/>
        </w:rPr>
        <w:t xml:space="preserve"> </w:t>
      </w:r>
      <w:r w:rsidRPr="00FD481F">
        <w:rPr>
          <w:rFonts w:ascii="Times New Roman" w:hAnsi="Times New Roman" w:cs="Times New Roman"/>
          <w:lang w:val="en-US"/>
        </w:rPr>
        <w:t>Lin was unable to meet his liability to the partnership out of personal funds,</w:t>
      </w:r>
      <w:r>
        <w:rPr>
          <w:rFonts w:ascii="Times New Roman" w:hAnsi="Times New Roman" w:cs="Times New Roman"/>
          <w:lang w:val="en-US"/>
        </w:rPr>
        <w:t xml:space="preserve"> his </w:t>
      </w:r>
      <w:r w:rsidRPr="00FD481F">
        <w:rPr>
          <w:rFonts w:ascii="Times New Roman" w:hAnsi="Times New Roman" w:cs="Times New Roman"/>
          <w:lang w:val="en-US"/>
        </w:rPr>
        <w:t>deficiency was to be apportioned between the remaining partners according to the rule in Garner v Murray. Calculate the deficiency to be borne by Bing and Qi.</w:t>
      </w:r>
      <w:r w:rsidR="00EC0A2A">
        <w:rPr>
          <w:rFonts w:ascii="Times New Roman" w:hAnsi="Times New Roman" w:cs="Times New Roman"/>
          <w:lang w:val="en-US"/>
        </w:rPr>
        <w:t xml:space="preserve"> </w:t>
      </w:r>
      <w:r w:rsidRPr="00EC0A2A">
        <w:rPr>
          <w:rFonts w:ascii="Times New Roman" w:hAnsi="Times New Roman" w:cs="Times New Roman"/>
          <w:lang w:val="en-US"/>
        </w:rPr>
        <w:t xml:space="preserve">(Show your working </w:t>
      </w:r>
      <w:r w:rsidRPr="00EC0A2A">
        <w:rPr>
          <w:rFonts w:ascii="Times New Roman" w:hAnsi="Times New Roman" w:cs="Times New Roman"/>
          <w:lang w:val="en-US"/>
        </w:rPr>
        <w:t xml:space="preserve">in </w:t>
      </w:r>
      <w:r w:rsidRPr="00EC0A2A">
        <w:rPr>
          <w:rFonts w:ascii="Times New Roman" w:hAnsi="Times New Roman" w:cs="Times New Roman"/>
          <w:lang w:val="en-US"/>
        </w:rPr>
        <w:t>detail)</w:t>
      </w:r>
    </w:p>
    <w:sectPr w:rsidR="00FD481F" w:rsidRPr="00EC0A2A" w:rsidSect="00F15B75">
      <w:pgSz w:w="11906" w:h="16838"/>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10C"/>
    <w:multiLevelType w:val="hybridMultilevel"/>
    <w:tmpl w:val="30E64834"/>
    <w:lvl w:ilvl="0" w:tplc="1A2454B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B16A93"/>
    <w:multiLevelType w:val="hybridMultilevel"/>
    <w:tmpl w:val="3DD8106A"/>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ADC1269"/>
    <w:multiLevelType w:val="hybridMultilevel"/>
    <w:tmpl w:val="AF1A2DF2"/>
    <w:lvl w:ilvl="0" w:tplc="950A485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57080459">
    <w:abstractNumId w:val="2"/>
  </w:num>
  <w:num w:numId="2" w16cid:durableId="1865898280">
    <w:abstractNumId w:val="1"/>
  </w:num>
  <w:num w:numId="3" w16cid:durableId="215356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96"/>
    <w:rsid w:val="00140178"/>
    <w:rsid w:val="008C02CC"/>
    <w:rsid w:val="008F2D96"/>
    <w:rsid w:val="00974ED4"/>
    <w:rsid w:val="00A921C9"/>
    <w:rsid w:val="00EB491B"/>
    <w:rsid w:val="00EC0A2A"/>
    <w:rsid w:val="00F15B75"/>
    <w:rsid w:val="00FD48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DC0142"/>
  <w15:chartTrackingRefBased/>
  <w15:docId w15:val="{E33B2D93-D4A5-1A43-AA6B-C04060B2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2023-04-27T02:50:00Z</dcterms:created>
  <dcterms:modified xsi:type="dcterms:W3CDTF">2023-04-27T02:59:00Z</dcterms:modified>
</cp:coreProperties>
</file>