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8E17" w14:textId="4560A08F" w:rsidR="00A94F46" w:rsidRPr="00A94F46" w:rsidRDefault="00A94F46" w:rsidP="00A94F46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7E00C5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Chong Hwa Secondary High School</w:t>
      </w:r>
      <w:r w:rsidRPr="007E00C5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 w:rsidR="002316FA">
        <w:rPr>
          <w:rFonts w:ascii="Times New Roman" w:hAnsi="Times New Roman" w:cs="Times New Roman"/>
          <w:b/>
          <w:bCs/>
          <w:lang w:val="en-US"/>
        </w:rPr>
        <w:t>4</w:t>
      </w:r>
    </w:p>
    <w:p w14:paraId="22422887" w14:textId="6CA0DCA5" w:rsidR="008C02CC" w:rsidRDefault="006841F5" w:rsidP="00180A5D">
      <w:pPr>
        <w:spacing w:line="276" w:lineRule="auto"/>
        <w:jc w:val="both"/>
        <w:rPr>
          <w:rFonts w:ascii="Times New Roman" w:hAnsi="Times New Roman" w:cs="Times New Roman"/>
        </w:rPr>
      </w:pPr>
      <w:r w:rsidRPr="006D710B">
        <w:rPr>
          <w:rFonts w:ascii="Times New Roman" w:hAnsi="Times New Roman" w:cs="Times New Roman"/>
        </w:rPr>
        <w:t>The Va</w:t>
      </w:r>
      <w:r w:rsidRPr="006D710B">
        <w:rPr>
          <w:rFonts w:ascii="Times New Roman" w:hAnsi="Times New Roman" w:cs="Times New Roman"/>
        </w:rPr>
        <w:t>l</w:t>
      </w:r>
      <w:r w:rsidRPr="006D710B">
        <w:rPr>
          <w:rFonts w:ascii="Times New Roman" w:hAnsi="Times New Roman" w:cs="Times New Roman"/>
        </w:rPr>
        <w:t xml:space="preserve">ley Sports Club is located </w:t>
      </w:r>
      <w:r w:rsidRPr="006D710B">
        <w:rPr>
          <w:rFonts w:ascii="Times New Roman" w:hAnsi="Times New Roman" w:cs="Times New Roman"/>
        </w:rPr>
        <w:t>in</w:t>
      </w:r>
      <w:r w:rsidRPr="006D710B">
        <w:rPr>
          <w:rFonts w:ascii="Times New Roman" w:hAnsi="Times New Roman" w:cs="Times New Roman"/>
        </w:rPr>
        <w:t xml:space="preserve"> Petaling</w:t>
      </w:r>
      <w:r w:rsidRPr="006D710B">
        <w:rPr>
          <w:rFonts w:ascii="Times New Roman" w:hAnsi="Times New Roman" w:cs="Times New Roman"/>
        </w:rPr>
        <w:t xml:space="preserve"> </w:t>
      </w:r>
      <w:r w:rsidRPr="006D710B">
        <w:rPr>
          <w:rFonts w:ascii="Times New Roman" w:hAnsi="Times New Roman" w:cs="Times New Roman"/>
        </w:rPr>
        <w:t>Jaya, equipped w</w:t>
      </w:r>
      <w:r w:rsidRPr="006D710B">
        <w:rPr>
          <w:rFonts w:ascii="Times New Roman" w:hAnsi="Times New Roman" w:cs="Times New Roman"/>
        </w:rPr>
        <w:t>ith</w:t>
      </w:r>
      <w:r w:rsidRPr="006D710B">
        <w:rPr>
          <w:rFonts w:ascii="Times New Roman" w:hAnsi="Times New Roman" w:cs="Times New Roman"/>
        </w:rPr>
        <w:t xml:space="preserve"> facilities suc</w:t>
      </w:r>
      <w:r w:rsidRPr="006D710B">
        <w:rPr>
          <w:rFonts w:ascii="Times New Roman" w:hAnsi="Times New Roman" w:cs="Times New Roman"/>
        </w:rPr>
        <w:t>h a</w:t>
      </w:r>
      <w:r w:rsidRPr="006D710B">
        <w:rPr>
          <w:rFonts w:ascii="Times New Roman" w:hAnsi="Times New Roman" w:cs="Times New Roman"/>
        </w:rPr>
        <w:t>s function ro</w:t>
      </w:r>
      <w:r w:rsidRPr="006D710B">
        <w:rPr>
          <w:rFonts w:ascii="Times New Roman" w:hAnsi="Times New Roman" w:cs="Times New Roman"/>
        </w:rPr>
        <w:t>o</w:t>
      </w:r>
      <w:r w:rsidRPr="006D710B">
        <w:rPr>
          <w:rFonts w:ascii="Times New Roman" w:hAnsi="Times New Roman" w:cs="Times New Roman"/>
        </w:rPr>
        <w:t xml:space="preserve">ms, sports amenities, gymnasium and restaurant. </w:t>
      </w:r>
      <w:r w:rsidRPr="006D710B">
        <w:rPr>
          <w:rFonts w:ascii="Times New Roman" w:hAnsi="Times New Roman" w:cs="Times New Roman"/>
        </w:rPr>
        <w:t>Accounts</w:t>
      </w:r>
      <w:r w:rsidRPr="006D710B">
        <w:rPr>
          <w:rFonts w:ascii="Times New Roman" w:hAnsi="Times New Roman" w:cs="Times New Roman"/>
        </w:rPr>
        <w:t xml:space="preserve"> </w:t>
      </w:r>
      <w:r w:rsidRPr="006D710B">
        <w:rPr>
          <w:rFonts w:ascii="Times New Roman" w:hAnsi="Times New Roman" w:cs="Times New Roman"/>
        </w:rPr>
        <w:t>are prepared</w:t>
      </w:r>
      <w:r w:rsidRPr="006D710B">
        <w:rPr>
          <w:rFonts w:ascii="Times New Roman" w:hAnsi="Times New Roman" w:cs="Times New Roman"/>
        </w:rPr>
        <w:t xml:space="preserve"> annually to 13 March. The membership has </w:t>
      </w:r>
      <w:r w:rsidRPr="006D710B">
        <w:rPr>
          <w:rFonts w:ascii="Times New Roman" w:hAnsi="Times New Roman" w:cs="Times New Roman"/>
        </w:rPr>
        <w:t>been</w:t>
      </w:r>
      <w:r w:rsidRPr="006D710B">
        <w:rPr>
          <w:rFonts w:ascii="Times New Roman" w:hAnsi="Times New Roman" w:cs="Times New Roman"/>
        </w:rPr>
        <w:t xml:space="preserve"> constant for </w:t>
      </w:r>
      <w:r w:rsidRPr="006D710B">
        <w:rPr>
          <w:rFonts w:ascii="Times New Roman" w:hAnsi="Times New Roman" w:cs="Times New Roman"/>
        </w:rPr>
        <w:t>some</w:t>
      </w:r>
      <w:r w:rsidRPr="006D710B">
        <w:rPr>
          <w:rFonts w:ascii="Times New Roman" w:hAnsi="Times New Roman" w:cs="Times New Roman"/>
        </w:rPr>
        <w:t xml:space="preserve"> years a</w:t>
      </w:r>
      <w:r w:rsidRPr="006D710B">
        <w:rPr>
          <w:rFonts w:ascii="Times New Roman" w:hAnsi="Times New Roman" w:cs="Times New Roman"/>
        </w:rPr>
        <w:t>t 25</w:t>
      </w:r>
      <w:r w:rsidRPr="006D710B">
        <w:rPr>
          <w:rFonts w:ascii="Times New Roman" w:hAnsi="Times New Roman" w:cs="Times New Roman"/>
        </w:rPr>
        <w:t>0 members, paying a</w:t>
      </w:r>
      <w:r w:rsidRPr="006D710B">
        <w:rPr>
          <w:rFonts w:ascii="Times New Roman" w:hAnsi="Times New Roman" w:cs="Times New Roman"/>
        </w:rPr>
        <w:t>n</w:t>
      </w:r>
      <w:r w:rsidRPr="006D710B">
        <w:rPr>
          <w:rFonts w:ascii="Times New Roman" w:hAnsi="Times New Roman" w:cs="Times New Roman"/>
        </w:rPr>
        <w:t xml:space="preserve"> annual subscription of RM 30.</w:t>
      </w:r>
    </w:p>
    <w:p w14:paraId="5C8AE72B" w14:textId="6EAECBC3" w:rsidR="006D710B" w:rsidRDefault="006D710B" w:rsidP="006D71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Receipts and Payments Account was prepared:</w:t>
      </w:r>
    </w:p>
    <w:p w14:paraId="52BB9A2E" w14:textId="77777777" w:rsidR="008A16D4" w:rsidRDefault="008A16D4" w:rsidP="006D710B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69"/>
        <w:gridCol w:w="3567"/>
        <w:gridCol w:w="941"/>
      </w:tblGrid>
      <w:tr w:rsidR="008A16D4" w14:paraId="486EDB4D" w14:textId="77777777" w:rsidTr="00D70371">
        <w:trPr>
          <w:trHeight w:val="312"/>
        </w:trPr>
        <w:tc>
          <w:tcPr>
            <w:tcW w:w="3539" w:type="dxa"/>
            <w:tcBorders>
              <w:top w:val="single" w:sz="4" w:space="0" w:color="auto"/>
            </w:tcBorders>
          </w:tcPr>
          <w:p w14:paraId="4FBCD4A7" w14:textId="0FCEF2BE" w:rsidR="008A16D4" w:rsidRPr="008A16D4" w:rsidRDefault="008A16D4" w:rsidP="001C4AE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16D4">
              <w:rPr>
                <w:rFonts w:ascii="Times New Roman" w:hAnsi="Times New Roman" w:cs="Times New Roman"/>
                <w:b/>
                <w:bCs/>
                <w:u w:val="single"/>
              </w:rPr>
              <w:t>Receipts</w:t>
            </w:r>
          </w:p>
        </w:tc>
        <w:tc>
          <w:tcPr>
            <w:tcW w:w="969" w:type="dxa"/>
            <w:tcBorders>
              <w:top w:val="single" w:sz="4" w:space="0" w:color="auto"/>
              <w:right w:val="single" w:sz="4" w:space="0" w:color="auto"/>
            </w:tcBorders>
          </w:tcPr>
          <w:p w14:paraId="1A36F3B8" w14:textId="57838874" w:rsidR="008A16D4" w:rsidRPr="008A16D4" w:rsidRDefault="008A16D4" w:rsidP="001C4A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8A16D4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</w:tcBorders>
          </w:tcPr>
          <w:p w14:paraId="4930A6A5" w14:textId="33D1877A" w:rsidR="008A16D4" w:rsidRPr="008A16D4" w:rsidRDefault="008A16D4" w:rsidP="001C4AE8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A16D4">
              <w:rPr>
                <w:rFonts w:ascii="Times New Roman" w:hAnsi="Times New Roman" w:cs="Times New Roman"/>
                <w:b/>
                <w:bCs/>
                <w:u w:val="single"/>
              </w:rPr>
              <w:t>Payments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6A75E8BF" w14:textId="397391F7" w:rsidR="008A16D4" w:rsidRPr="008A16D4" w:rsidRDefault="008A16D4" w:rsidP="001C4A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Pr="008A16D4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8A16D4" w14:paraId="3C3A6324" w14:textId="77777777" w:rsidTr="00D70371">
        <w:trPr>
          <w:trHeight w:val="312"/>
        </w:trPr>
        <w:tc>
          <w:tcPr>
            <w:tcW w:w="3539" w:type="dxa"/>
          </w:tcPr>
          <w:p w14:paraId="5FDFF2BC" w14:textId="35FA9F41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b/d - Cash in hand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2D70075D" w14:textId="1CCCB221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5,110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3DD7584C" w14:textId="59F988B3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Rent</w:t>
            </w:r>
          </w:p>
        </w:tc>
        <w:tc>
          <w:tcPr>
            <w:tcW w:w="941" w:type="dxa"/>
            <w:vAlign w:val="center"/>
          </w:tcPr>
          <w:p w14:paraId="09632977" w14:textId="13BF090D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</w:tr>
      <w:tr w:rsidR="008A16D4" w14:paraId="2DB797C4" w14:textId="77777777" w:rsidTr="00D70371">
        <w:trPr>
          <w:trHeight w:val="312"/>
        </w:trPr>
        <w:tc>
          <w:tcPr>
            <w:tcW w:w="3539" w:type="dxa"/>
          </w:tcPr>
          <w:p w14:paraId="26FA3CAA" w14:textId="281EF491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b/d - Cash at bank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68F5FE67" w14:textId="4491707D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24,000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402D9B8C" w14:textId="53058A65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Electricity</w:t>
            </w:r>
          </w:p>
        </w:tc>
        <w:tc>
          <w:tcPr>
            <w:tcW w:w="941" w:type="dxa"/>
            <w:vAlign w:val="center"/>
          </w:tcPr>
          <w:p w14:paraId="30B51371" w14:textId="2D59C4E2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7,670</w:t>
            </w:r>
          </w:p>
        </w:tc>
      </w:tr>
      <w:tr w:rsidR="008A16D4" w14:paraId="64337D19" w14:textId="77777777" w:rsidTr="00D70371">
        <w:trPr>
          <w:trHeight w:val="312"/>
        </w:trPr>
        <w:tc>
          <w:tcPr>
            <w:tcW w:w="3539" w:type="dxa"/>
          </w:tcPr>
          <w:p w14:paraId="7745F924" w14:textId="6AE3814A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Subscriptions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5273CA18" w14:textId="5B571152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75,300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3F1CE9D6" w14:textId="5F0700EF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Secretary’s expenses</w:t>
            </w:r>
          </w:p>
        </w:tc>
        <w:tc>
          <w:tcPr>
            <w:tcW w:w="941" w:type="dxa"/>
            <w:vAlign w:val="center"/>
          </w:tcPr>
          <w:p w14:paraId="53439EE4" w14:textId="7809F9A4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1,450</w:t>
            </w:r>
          </w:p>
        </w:tc>
      </w:tr>
      <w:tr w:rsidR="008A16D4" w14:paraId="60C9944C" w14:textId="77777777" w:rsidTr="00D70371">
        <w:trPr>
          <w:trHeight w:val="312"/>
        </w:trPr>
        <w:tc>
          <w:tcPr>
            <w:tcW w:w="3539" w:type="dxa"/>
          </w:tcPr>
          <w:p w14:paraId="265313FB" w14:textId="0AA21D31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Donations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5C324D3D" w14:textId="525AF21A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10C9FAD3" w14:textId="2658000D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Restaurant suppliers</w:t>
            </w:r>
          </w:p>
        </w:tc>
        <w:tc>
          <w:tcPr>
            <w:tcW w:w="941" w:type="dxa"/>
            <w:vAlign w:val="center"/>
          </w:tcPr>
          <w:p w14:paraId="2FA82614" w14:textId="19F37F63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15,110</w:t>
            </w:r>
          </w:p>
        </w:tc>
      </w:tr>
      <w:tr w:rsidR="008A16D4" w14:paraId="01D9E37D" w14:textId="77777777" w:rsidTr="00D70371">
        <w:trPr>
          <w:trHeight w:val="312"/>
        </w:trPr>
        <w:tc>
          <w:tcPr>
            <w:tcW w:w="3539" w:type="dxa"/>
          </w:tcPr>
          <w:p w14:paraId="304B08F1" w14:textId="31E516C2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Restaurant takings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49A2DD84" w14:textId="6514770E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35,400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0818F43D" w14:textId="4FF63545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Restaurant wages</w:t>
            </w:r>
          </w:p>
        </w:tc>
        <w:tc>
          <w:tcPr>
            <w:tcW w:w="941" w:type="dxa"/>
            <w:vAlign w:val="center"/>
          </w:tcPr>
          <w:p w14:paraId="405E6F20" w14:textId="6C1AB7EE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11,500</w:t>
            </w:r>
          </w:p>
        </w:tc>
      </w:tr>
      <w:tr w:rsidR="008A16D4" w14:paraId="4D182DF4" w14:textId="77777777" w:rsidTr="00D70371">
        <w:trPr>
          <w:trHeight w:val="312"/>
        </w:trPr>
        <w:tc>
          <w:tcPr>
            <w:tcW w:w="3539" w:type="dxa"/>
          </w:tcPr>
          <w:p w14:paraId="1EF8E31E" w14:textId="2AC35185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of annual dinner ticket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4D2DABEC" w14:textId="0019C400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6C296C26" w14:textId="25B366A9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Administrative expenses</w:t>
            </w:r>
          </w:p>
        </w:tc>
        <w:tc>
          <w:tcPr>
            <w:tcW w:w="941" w:type="dxa"/>
            <w:vAlign w:val="center"/>
          </w:tcPr>
          <w:p w14:paraId="0C26F1D5" w14:textId="434B5F10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9,960</w:t>
            </w:r>
          </w:p>
        </w:tc>
      </w:tr>
      <w:tr w:rsidR="008A16D4" w14:paraId="51FAB435" w14:textId="77777777" w:rsidTr="00D70371">
        <w:trPr>
          <w:trHeight w:val="312"/>
        </w:trPr>
        <w:tc>
          <w:tcPr>
            <w:tcW w:w="3539" w:type="dxa"/>
          </w:tcPr>
          <w:p w14:paraId="33A7BE9C" w14:textId="7FF13CD6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of all old office equipment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45483FC3" w14:textId="5EDD010A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7FC2F48D" w14:textId="4376ED06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dinner door gift</w:t>
            </w:r>
          </w:p>
        </w:tc>
        <w:tc>
          <w:tcPr>
            <w:tcW w:w="941" w:type="dxa"/>
            <w:vAlign w:val="center"/>
          </w:tcPr>
          <w:p w14:paraId="752CC7D2" w14:textId="5479911D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8A16D4" w14:paraId="7A5EC53C" w14:textId="77777777" w:rsidTr="00D70371">
        <w:trPr>
          <w:trHeight w:val="312"/>
        </w:trPr>
        <w:tc>
          <w:tcPr>
            <w:tcW w:w="3539" w:type="dxa"/>
          </w:tcPr>
          <w:p w14:paraId="62E6C0F4" w14:textId="1071B887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(Sold on 1/4/2021)</w:t>
            </w:r>
          </w:p>
        </w:tc>
        <w:tc>
          <w:tcPr>
            <w:tcW w:w="969" w:type="dxa"/>
            <w:tcBorders>
              <w:right w:val="single" w:sz="4" w:space="0" w:color="auto"/>
            </w:tcBorders>
          </w:tcPr>
          <w:p w14:paraId="4985411C" w14:textId="77777777" w:rsidR="008A16D4" w:rsidRDefault="008A16D4" w:rsidP="001C4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181F9B4D" w14:textId="66FEE220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cupboards for storage</w:t>
            </w:r>
          </w:p>
        </w:tc>
        <w:tc>
          <w:tcPr>
            <w:tcW w:w="941" w:type="dxa"/>
            <w:vAlign w:val="center"/>
          </w:tcPr>
          <w:p w14:paraId="0F95A16E" w14:textId="579F6441" w:rsidR="008A16D4" w:rsidRDefault="008A16D4" w:rsidP="001C4AE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8,900</w:t>
            </w:r>
          </w:p>
        </w:tc>
      </w:tr>
      <w:tr w:rsidR="008A16D4" w14:paraId="0656E429" w14:textId="77777777" w:rsidTr="00D70371">
        <w:trPr>
          <w:trHeight w:val="312"/>
        </w:trPr>
        <w:tc>
          <w:tcPr>
            <w:tcW w:w="3539" w:type="dxa"/>
          </w:tcPr>
          <w:p w14:paraId="4A74E70B" w14:textId="77777777" w:rsidR="008A16D4" w:rsidRDefault="008A16D4" w:rsidP="001C4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9" w:type="dxa"/>
            <w:tcBorders>
              <w:right w:val="single" w:sz="4" w:space="0" w:color="auto"/>
            </w:tcBorders>
          </w:tcPr>
          <w:p w14:paraId="01D074F4" w14:textId="77777777" w:rsidR="008A16D4" w:rsidRDefault="008A16D4" w:rsidP="001C4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352373F5" w14:textId="0DB794C5" w:rsidR="008A16D4" w:rsidRDefault="008A16D4" w:rsidP="001C4A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(Bought on 1/10/2021)</w:t>
            </w:r>
          </w:p>
        </w:tc>
        <w:tc>
          <w:tcPr>
            <w:tcW w:w="941" w:type="dxa"/>
          </w:tcPr>
          <w:p w14:paraId="2C244424" w14:textId="77777777" w:rsidR="008A16D4" w:rsidRDefault="008A16D4" w:rsidP="001C4AE8">
            <w:pPr>
              <w:rPr>
                <w:rFonts w:ascii="Times New Roman" w:hAnsi="Times New Roman" w:cs="Times New Roman"/>
              </w:rPr>
            </w:pPr>
          </w:p>
        </w:tc>
      </w:tr>
    </w:tbl>
    <w:p w14:paraId="39EAAC22" w14:textId="77777777" w:rsidR="008A16D4" w:rsidRDefault="008A16D4" w:rsidP="006D710B">
      <w:pPr>
        <w:spacing w:line="276" w:lineRule="auto"/>
        <w:rPr>
          <w:rFonts w:ascii="Times New Roman" w:hAnsi="Times New Roman" w:cs="Times New Roman"/>
        </w:rPr>
      </w:pPr>
    </w:p>
    <w:p w14:paraId="297FCE39" w14:textId="19C799BD" w:rsidR="00613D7C" w:rsidRDefault="00613D7C" w:rsidP="006D710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information is available for the year ended 31 March 2022:</w:t>
      </w:r>
    </w:p>
    <w:p w14:paraId="50DCBBA3" w14:textId="280EA92F" w:rsidR="00613D7C" w:rsidRDefault="001C4AE8" w:rsidP="00613D7C">
      <w:pPr>
        <w:pStyle w:val="ListParagraph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1/4/2021</w:t>
      </w:r>
      <w:r>
        <w:rPr>
          <w:rFonts w:ascii="Times New Roman" w:hAnsi="Times New Roman" w:cs="Times New Roman"/>
        </w:rPr>
        <w:tab/>
        <w:t>31/3/2022</w:t>
      </w:r>
    </w:p>
    <w:p w14:paraId="3EE331B6" w14:textId="4005FC0E" w:rsidR="001C4AE8" w:rsidRDefault="001C4AE8" w:rsidP="001C4AE8">
      <w:pPr>
        <w:pStyle w:val="ListParagraph"/>
        <w:spacing w:line="276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Number of</w:t>
      </w:r>
      <w:r>
        <w:rPr>
          <w:rFonts w:ascii="Times New Roman" w:hAnsi="Times New Roman" w:cs="Times New Roman"/>
        </w:rPr>
        <w:tab/>
        <w:t>Number of</w:t>
      </w:r>
    </w:p>
    <w:p w14:paraId="26E0F370" w14:textId="04110839" w:rsidR="001C4AE8" w:rsidRDefault="001C4AE8" w:rsidP="001C4AE8">
      <w:pPr>
        <w:pStyle w:val="ListParagraph"/>
        <w:spacing w:line="276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members</w:t>
      </w:r>
      <w:r>
        <w:rPr>
          <w:rFonts w:ascii="Times New Roman" w:hAnsi="Times New Roman" w:cs="Times New Roman"/>
        </w:rPr>
        <w:tab/>
        <w:t xml:space="preserve">   members</w:t>
      </w:r>
    </w:p>
    <w:p w14:paraId="2BBE1C74" w14:textId="712BF224" w:rsidR="001C4AE8" w:rsidRDefault="001C4AE8" w:rsidP="001C4A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Subscriptions in arrears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3</w:t>
      </w:r>
    </w:p>
    <w:p w14:paraId="0320DAAC" w14:textId="4717EE16" w:rsidR="001C4AE8" w:rsidRDefault="001C4AE8" w:rsidP="001C4A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Subscriptions in advance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?</w:t>
      </w:r>
    </w:p>
    <w:p w14:paraId="63DCEDFD" w14:textId="5A9EE519" w:rsidR="001C4AE8" w:rsidRDefault="001C4AE8" w:rsidP="001C4A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CDC692" w14:textId="167EE3AA" w:rsidR="001C4AE8" w:rsidRDefault="001C4AE8" w:rsidP="001C4A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Amount (RM)    Amount (RM)</w:t>
      </w:r>
    </w:p>
    <w:p w14:paraId="575D9D85" w14:textId="65A10385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equipment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12,300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--</w:t>
      </w:r>
    </w:p>
    <w:p w14:paraId="3EDD0A35" w14:textId="0C6D316C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- restaurant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3,500</w:t>
      </w:r>
      <w:r>
        <w:rPr>
          <w:rFonts w:ascii="Times New Roman" w:hAnsi="Times New Roman" w:cs="Times New Roman"/>
        </w:rPr>
        <w:tab/>
        <w:t xml:space="preserve">         2,000</w:t>
      </w:r>
    </w:p>
    <w:p w14:paraId="2F3F8694" w14:textId="1D9CC492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- restaurant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620</w:t>
      </w:r>
      <w:r>
        <w:rPr>
          <w:rFonts w:ascii="Times New Roman" w:hAnsi="Times New Roman" w:cs="Times New Roman"/>
        </w:rPr>
        <w:tab/>
        <w:t xml:space="preserve">         1,840</w:t>
      </w:r>
    </w:p>
    <w:p w14:paraId="52E7F0D0" w14:textId="62583FBF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Prepaid administrative expenses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500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--</w:t>
      </w:r>
    </w:p>
    <w:p w14:paraId="01811C62" w14:textId="3EDD2B2A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Accrued 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170</w:t>
      </w:r>
    </w:p>
    <w:p w14:paraId="01EE8480" w14:textId="52A1CB02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in hand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?</w:t>
      </w:r>
      <w:r>
        <w:rPr>
          <w:rFonts w:ascii="Times New Roman" w:hAnsi="Times New Roman" w:cs="Times New Roman"/>
        </w:rPr>
        <w:tab/>
        <w:t xml:space="preserve">       15,320</w:t>
      </w:r>
    </w:p>
    <w:p w14:paraId="2D9F8464" w14:textId="1C55E1B0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at bank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?                         ?</w:t>
      </w:r>
    </w:p>
    <w:p w14:paraId="4A1B8AA5" w14:textId="77777777" w:rsidR="001C4AE8" w:rsidRDefault="001C4AE8" w:rsidP="001C4AE8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8357389" w14:textId="47F171EF" w:rsidR="001C4AE8" w:rsidRDefault="001C4AE8" w:rsidP="001C4AE8">
      <w:pPr>
        <w:pStyle w:val="ListParagraph"/>
        <w:numPr>
          <w:ilvl w:val="0"/>
          <w:numId w:val="2"/>
        </w:numPr>
        <w:spacing w:line="276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Donations was regarded as a capital receipts.</w:t>
      </w:r>
    </w:p>
    <w:p w14:paraId="42A13453" w14:textId="486AD083" w:rsidR="001C4AE8" w:rsidRDefault="001C4AE8" w:rsidP="001C4AE8">
      <w:pPr>
        <w:pStyle w:val="ListParagraph"/>
        <w:numPr>
          <w:ilvl w:val="0"/>
          <w:numId w:val="2"/>
        </w:numPr>
        <w:spacing w:line="276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year depreciation was charged on all non-current assets at 10% per annum using straight line method.</w:t>
      </w:r>
    </w:p>
    <w:p w14:paraId="3017C6F2" w14:textId="77777777" w:rsidR="001C4AE8" w:rsidRDefault="001C4AE8" w:rsidP="001C4AE8">
      <w:pPr>
        <w:spacing w:line="276" w:lineRule="auto"/>
        <w:rPr>
          <w:rFonts w:ascii="Times New Roman" w:hAnsi="Times New Roman" w:cs="Times New Roman"/>
        </w:rPr>
      </w:pPr>
    </w:p>
    <w:p w14:paraId="347628C9" w14:textId="2B2AC6A7" w:rsidR="001C4AE8" w:rsidRPr="00D70371" w:rsidRDefault="001C4AE8" w:rsidP="001C4AE8">
      <w:pPr>
        <w:spacing w:line="276" w:lineRule="auto"/>
        <w:rPr>
          <w:rFonts w:ascii="Times New Roman" w:hAnsi="Times New Roman" w:cs="Times New Roman"/>
          <w:b/>
          <w:bCs/>
        </w:rPr>
      </w:pPr>
      <w:r w:rsidRPr="001C4AE8">
        <w:rPr>
          <w:rFonts w:ascii="Times New Roman" w:hAnsi="Times New Roman" w:cs="Times New Roman"/>
          <w:b/>
          <w:bCs/>
        </w:rPr>
        <w:t>You are required to prepare the followings:</w:t>
      </w:r>
    </w:p>
    <w:p w14:paraId="1FE71E16" w14:textId="2CCD06A0" w:rsidR="001C4AE8" w:rsidRDefault="001C4AE8" w:rsidP="001C4AE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balance on the Accumulated Fund as at 1 April 2021;</w:t>
      </w:r>
    </w:p>
    <w:p w14:paraId="7360517F" w14:textId="09B3362A" w:rsidR="001C4AE8" w:rsidRDefault="001C4AE8" w:rsidP="001C4AE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Subscriptions account;</w:t>
      </w:r>
    </w:p>
    <w:p w14:paraId="78AD1199" w14:textId="7FDE7C43" w:rsidR="001C4AE8" w:rsidRDefault="001C4AE8" w:rsidP="001C4AE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Restaurant Trading Account for the year ended 31 March 2022;</w:t>
      </w:r>
    </w:p>
    <w:p w14:paraId="09238514" w14:textId="65CA5CDA" w:rsidR="001C4AE8" w:rsidRDefault="001C4AE8" w:rsidP="001C4AE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and Expenditure Account for the year ended 31 March 2022;</w:t>
      </w:r>
    </w:p>
    <w:p w14:paraId="542D9A0D" w14:textId="595E896A" w:rsidR="001C4AE8" w:rsidRPr="001C4AE8" w:rsidRDefault="001C4AE8" w:rsidP="001C4AE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bank balance at 31 March 2022.</w:t>
      </w:r>
    </w:p>
    <w:sectPr w:rsidR="001C4AE8" w:rsidRPr="001C4AE8" w:rsidSect="00BF4FCC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7E86"/>
    <w:multiLevelType w:val="hybridMultilevel"/>
    <w:tmpl w:val="F50678EA"/>
    <w:lvl w:ilvl="0" w:tplc="262E08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72749D"/>
    <w:multiLevelType w:val="hybridMultilevel"/>
    <w:tmpl w:val="549EC17A"/>
    <w:lvl w:ilvl="0" w:tplc="46BE3F8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8F64FE0"/>
    <w:multiLevelType w:val="hybridMultilevel"/>
    <w:tmpl w:val="45A2CC0C"/>
    <w:lvl w:ilvl="0" w:tplc="409E5D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9216154">
    <w:abstractNumId w:val="0"/>
  </w:num>
  <w:num w:numId="2" w16cid:durableId="271471999">
    <w:abstractNumId w:val="1"/>
  </w:num>
  <w:num w:numId="3" w16cid:durableId="197528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F5"/>
    <w:rsid w:val="00140178"/>
    <w:rsid w:val="00180A5D"/>
    <w:rsid w:val="001C4AE8"/>
    <w:rsid w:val="002316FA"/>
    <w:rsid w:val="005A6C54"/>
    <w:rsid w:val="00613D7C"/>
    <w:rsid w:val="006841F5"/>
    <w:rsid w:val="006D710B"/>
    <w:rsid w:val="008A16D4"/>
    <w:rsid w:val="008C02CC"/>
    <w:rsid w:val="00A921C9"/>
    <w:rsid w:val="00A94F46"/>
    <w:rsid w:val="00BF4FCC"/>
    <w:rsid w:val="00D70371"/>
    <w:rsid w:val="00EB491B"/>
    <w:rsid w:val="00F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D98DE"/>
  <w15:chartTrackingRefBased/>
  <w15:docId w15:val="{5D0FE784-496C-7849-BE48-5CC2E96E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12</cp:revision>
  <dcterms:created xsi:type="dcterms:W3CDTF">2023-04-27T03:24:00Z</dcterms:created>
  <dcterms:modified xsi:type="dcterms:W3CDTF">2023-04-27T05:46:00Z</dcterms:modified>
</cp:coreProperties>
</file>