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9BF0" w14:textId="0B5670D0" w:rsidR="00E818F2" w:rsidRPr="00E818F2" w:rsidRDefault="00E818F2" w:rsidP="00E818F2">
      <w:pPr>
        <w:spacing w:after="268" w:line="276" w:lineRule="auto"/>
        <w:ind w:left="480" w:right="50" w:hanging="480"/>
        <w:rPr>
          <w:b/>
          <w:bCs/>
          <w:lang w:val="en-US"/>
        </w:rPr>
      </w:pPr>
      <w:r w:rsidRPr="00D8323D">
        <w:rPr>
          <w:b/>
          <w:bCs/>
        </w:rPr>
        <w:t>2022 Confucian Private Secondary</w:t>
      </w:r>
      <w:r w:rsidRPr="00D8323D">
        <w:rPr>
          <w:b/>
          <w:bCs/>
          <w:lang w:val="en-US"/>
        </w:rPr>
        <w:t xml:space="preserve"> Paper 2 Question </w:t>
      </w:r>
      <w:r>
        <w:rPr>
          <w:b/>
          <w:bCs/>
          <w:lang w:val="en-US"/>
        </w:rPr>
        <w:t>3</w:t>
      </w:r>
    </w:p>
    <w:p w14:paraId="77C23BC5" w14:textId="38624883" w:rsidR="00AF475A" w:rsidRDefault="00AF475A" w:rsidP="00AF475A">
      <w:pPr>
        <w:spacing w:line="276" w:lineRule="auto"/>
        <w:ind w:left="0" w:right="382"/>
      </w:pPr>
      <w:r>
        <w:t xml:space="preserve">Soho Berhad has an authorized capital of 300,000 Ordinary Shares of RM 2.00 each. Prior to the issue, the following balances were extracted from the company’s books for the year ended 31 December 2020: </w:t>
      </w:r>
    </w:p>
    <w:p w14:paraId="3A224A0F" w14:textId="2C5E26DD" w:rsidR="00AF475A" w:rsidRPr="00AF475A" w:rsidRDefault="00AF475A" w:rsidP="00AF475A">
      <w:pPr>
        <w:spacing w:line="276" w:lineRule="auto"/>
        <w:ind w:left="2" w:right="382" w:firstLine="0"/>
        <w:jc w:val="center"/>
        <w:rPr>
          <w:b/>
          <w:bCs/>
        </w:rPr>
      </w:pPr>
      <w:r w:rsidRPr="00AF475A">
        <w:rPr>
          <w:b/>
          <w:bCs/>
        </w:rPr>
        <w:t>Statement of Financial Position (extract) 31 December 2020</w:t>
      </w:r>
    </w:p>
    <w:tbl>
      <w:tblPr>
        <w:tblStyle w:val="TableGrid"/>
        <w:tblW w:w="6222" w:type="dxa"/>
        <w:tblInd w:w="1134" w:type="dxa"/>
        <w:tblCellMar>
          <w:top w:w="1" w:type="dxa"/>
          <w:left w:w="0" w:type="dxa"/>
          <w:bottom w:w="0" w:type="dxa"/>
          <w:right w:w="0" w:type="dxa"/>
        </w:tblCellMar>
        <w:tblLook w:val="04A0" w:firstRow="1" w:lastRow="0" w:firstColumn="1" w:lastColumn="0" w:noHBand="0" w:noVBand="1"/>
      </w:tblPr>
      <w:tblGrid>
        <w:gridCol w:w="5382"/>
        <w:gridCol w:w="840"/>
      </w:tblGrid>
      <w:tr w:rsidR="00AF475A" w:rsidRPr="00AF475A" w14:paraId="17153890" w14:textId="77777777" w:rsidTr="00AF475A">
        <w:trPr>
          <w:trHeight w:val="275"/>
        </w:trPr>
        <w:tc>
          <w:tcPr>
            <w:tcW w:w="5382" w:type="dxa"/>
            <w:tcBorders>
              <w:top w:val="single" w:sz="4" w:space="0" w:color="auto"/>
              <w:left w:val="nil"/>
              <w:bottom w:val="nil"/>
              <w:right w:val="nil"/>
            </w:tcBorders>
          </w:tcPr>
          <w:p w14:paraId="507FE4F5" w14:textId="3BD412F9" w:rsidR="00AF475A" w:rsidRPr="00AF475A" w:rsidRDefault="00AF475A" w:rsidP="00AF475A">
            <w:pPr>
              <w:spacing w:after="0" w:line="276" w:lineRule="auto"/>
              <w:ind w:left="0" w:firstLine="0"/>
              <w:jc w:val="left"/>
              <w:rPr>
                <w:b/>
                <w:bCs/>
                <w:u w:val="single"/>
              </w:rPr>
            </w:pPr>
            <w:r>
              <w:t xml:space="preserve">   </w:t>
            </w:r>
            <w:r w:rsidRPr="00AF475A">
              <w:rPr>
                <w:b/>
                <w:bCs/>
                <w:u w:val="single"/>
              </w:rPr>
              <w:t>Equity</w:t>
            </w:r>
            <w:r w:rsidRPr="00AF475A">
              <w:rPr>
                <w:b/>
                <w:bCs/>
                <w:sz w:val="22"/>
                <w:u w:val="single"/>
              </w:rPr>
              <w:t xml:space="preserve"> </w:t>
            </w:r>
          </w:p>
        </w:tc>
        <w:tc>
          <w:tcPr>
            <w:tcW w:w="840" w:type="dxa"/>
            <w:tcBorders>
              <w:top w:val="single" w:sz="4" w:space="0" w:color="auto"/>
              <w:left w:val="nil"/>
              <w:bottom w:val="nil"/>
              <w:right w:val="nil"/>
            </w:tcBorders>
          </w:tcPr>
          <w:p w14:paraId="557F7E18" w14:textId="77777777" w:rsidR="00AF475A" w:rsidRPr="00AF475A" w:rsidRDefault="00AF475A" w:rsidP="00AF475A">
            <w:pPr>
              <w:spacing w:after="0" w:line="276" w:lineRule="auto"/>
              <w:ind w:left="0" w:right="269" w:firstLine="0"/>
              <w:jc w:val="right"/>
              <w:rPr>
                <w:b/>
                <w:bCs/>
              </w:rPr>
            </w:pPr>
            <w:r w:rsidRPr="00AF475A">
              <w:rPr>
                <w:b/>
                <w:bCs/>
              </w:rPr>
              <w:t>RM</w:t>
            </w:r>
            <w:r w:rsidRPr="00AF475A">
              <w:rPr>
                <w:rFonts w:ascii="Calibri" w:eastAsia="Calibri" w:hAnsi="Calibri" w:cs="Calibri"/>
                <w:b/>
                <w:bCs/>
                <w:sz w:val="22"/>
              </w:rPr>
              <w:t xml:space="preserve"> </w:t>
            </w:r>
          </w:p>
        </w:tc>
      </w:tr>
      <w:tr w:rsidR="00AF475A" w14:paraId="2FA40E65" w14:textId="77777777" w:rsidTr="00AF475A">
        <w:trPr>
          <w:trHeight w:val="272"/>
        </w:trPr>
        <w:tc>
          <w:tcPr>
            <w:tcW w:w="5382" w:type="dxa"/>
            <w:tcBorders>
              <w:top w:val="nil"/>
              <w:left w:val="nil"/>
              <w:bottom w:val="nil"/>
              <w:right w:val="nil"/>
            </w:tcBorders>
          </w:tcPr>
          <w:p w14:paraId="242797A0" w14:textId="77777777" w:rsidR="00AF475A" w:rsidRDefault="00AF475A" w:rsidP="00AF475A">
            <w:pPr>
              <w:spacing w:after="0" w:line="276" w:lineRule="auto"/>
              <w:ind w:left="173" w:firstLine="0"/>
              <w:jc w:val="left"/>
            </w:pPr>
            <w:r>
              <w:t xml:space="preserve">Issued and Paid-Up Capital </w:t>
            </w:r>
          </w:p>
        </w:tc>
        <w:tc>
          <w:tcPr>
            <w:tcW w:w="840" w:type="dxa"/>
            <w:tcBorders>
              <w:top w:val="nil"/>
              <w:left w:val="nil"/>
              <w:bottom w:val="nil"/>
              <w:right w:val="nil"/>
            </w:tcBorders>
          </w:tcPr>
          <w:p w14:paraId="1DF08827" w14:textId="77777777" w:rsidR="00AF475A" w:rsidRDefault="00AF475A" w:rsidP="00AF475A">
            <w:pPr>
              <w:spacing w:after="0" w:line="276" w:lineRule="auto"/>
              <w:ind w:left="0" w:firstLine="0"/>
              <w:jc w:val="right"/>
            </w:pPr>
            <w:r>
              <w:t xml:space="preserve"> </w:t>
            </w:r>
          </w:p>
        </w:tc>
      </w:tr>
      <w:tr w:rsidR="00AF475A" w14:paraId="0124BE37" w14:textId="77777777" w:rsidTr="00AF475A">
        <w:trPr>
          <w:trHeight w:val="276"/>
        </w:trPr>
        <w:tc>
          <w:tcPr>
            <w:tcW w:w="5382" w:type="dxa"/>
            <w:tcBorders>
              <w:top w:val="nil"/>
              <w:left w:val="nil"/>
              <w:bottom w:val="nil"/>
              <w:right w:val="nil"/>
            </w:tcBorders>
          </w:tcPr>
          <w:p w14:paraId="43C90472" w14:textId="77777777" w:rsidR="00AF475A" w:rsidRDefault="00AF475A" w:rsidP="00AF475A">
            <w:pPr>
              <w:spacing w:after="0" w:line="276" w:lineRule="auto"/>
              <w:ind w:left="173" w:firstLine="0"/>
              <w:jc w:val="left"/>
            </w:pPr>
            <w:r>
              <w:t xml:space="preserve">- 100,000 Ordinary Share of RM 2.00 each </w:t>
            </w:r>
          </w:p>
        </w:tc>
        <w:tc>
          <w:tcPr>
            <w:tcW w:w="840" w:type="dxa"/>
            <w:tcBorders>
              <w:top w:val="nil"/>
              <w:left w:val="nil"/>
              <w:bottom w:val="nil"/>
              <w:right w:val="nil"/>
            </w:tcBorders>
          </w:tcPr>
          <w:p w14:paraId="11BC5565" w14:textId="77777777" w:rsidR="00AF475A" w:rsidRDefault="00AF475A" w:rsidP="00AF475A">
            <w:pPr>
              <w:spacing w:after="0" w:line="276" w:lineRule="auto"/>
              <w:ind w:left="0" w:firstLine="0"/>
            </w:pPr>
            <w:r>
              <w:t xml:space="preserve">200,000 </w:t>
            </w:r>
          </w:p>
        </w:tc>
      </w:tr>
      <w:tr w:rsidR="00AF475A" w14:paraId="3D74E61D" w14:textId="77777777" w:rsidTr="00AF475A">
        <w:trPr>
          <w:trHeight w:val="283"/>
        </w:trPr>
        <w:tc>
          <w:tcPr>
            <w:tcW w:w="5382" w:type="dxa"/>
            <w:tcBorders>
              <w:top w:val="nil"/>
              <w:left w:val="nil"/>
              <w:bottom w:val="nil"/>
              <w:right w:val="nil"/>
            </w:tcBorders>
          </w:tcPr>
          <w:p w14:paraId="79A1F222" w14:textId="77777777" w:rsidR="00AF475A" w:rsidRDefault="00AF475A" w:rsidP="00AF475A">
            <w:pPr>
              <w:spacing w:after="0" w:line="276" w:lineRule="auto"/>
              <w:ind w:left="173" w:firstLine="0"/>
              <w:jc w:val="left"/>
            </w:pPr>
            <w:r>
              <w:t>Share Premium</w:t>
            </w:r>
            <w:r>
              <w:rPr>
                <w:rFonts w:ascii="Calibri" w:eastAsia="Calibri" w:hAnsi="Calibri" w:cs="Calibri"/>
              </w:rPr>
              <w:t xml:space="preserve"> </w:t>
            </w:r>
          </w:p>
        </w:tc>
        <w:tc>
          <w:tcPr>
            <w:tcW w:w="840" w:type="dxa"/>
            <w:tcBorders>
              <w:top w:val="nil"/>
              <w:left w:val="nil"/>
              <w:bottom w:val="nil"/>
              <w:right w:val="nil"/>
            </w:tcBorders>
          </w:tcPr>
          <w:p w14:paraId="54D2FE5C" w14:textId="77777777" w:rsidR="00AF475A" w:rsidRDefault="00AF475A" w:rsidP="00AF475A">
            <w:pPr>
              <w:spacing w:after="0" w:line="276" w:lineRule="auto"/>
              <w:ind w:left="120" w:firstLine="0"/>
              <w:jc w:val="left"/>
            </w:pPr>
            <w:r>
              <w:t>30,000</w:t>
            </w:r>
            <w:r>
              <w:rPr>
                <w:rFonts w:ascii="Calibri" w:eastAsia="Calibri" w:hAnsi="Calibri" w:cs="Calibri"/>
              </w:rPr>
              <w:t xml:space="preserve"> </w:t>
            </w:r>
          </w:p>
        </w:tc>
      </w:tr>
    </w:tbl>
    <w:p w14:paraId="48ACC671" w14:textId="77777777" w:rsidR="00AF475A" w:rsidRDefault="00AF475A" w:rsidP="00AF475A">
      <w:pPr>
        <w:spacing w:after="0" w:line="276" w:lineRule="auto"/>
        <w:ind w:left="566" w:right="1388" w:firstLine="0"/>
        <w:jc w:val="left"/>
      </w:pPr>
      <w:r>
        <w:t xml:space="preserve"> </w:t>
      </w:r>
    </w:p>
    <w:p w14:paraId="2745CA13" w14:textId="77777777" w:rsidR="00AF475A" w:rsidRDefault="00AF475A" w:rsidP="00AF475A">
      <w:pPr>
        <w:spacing w:after="33" w:line="276" w:lineRule="auto"/>
        <w:ind w:left="0" w:right="382"/>
      </w:pPr>
      <w:r>
        <w:t xml:space="preserve">On 1 January 2021, the directors decided to increase the issued share capital of the company in accordance with the Company’s Articles by offering the remaining 200,000 Ordinary Shares of RM 2.00 each at a premium of RM 0.10 per share, payable as follows: </w:t>
      </w:r>
    </w:p>
    <w:p w14:paraId="6177B898" w14:textId="2844A22C" w:rsidR="00AF475A" w:rsidRDefault="00AF475A" w:rsidP="00AF475A">
      <w:pPr>
        <w:spacing w:after="4" w:line="276" w:lineRule="auto"/>
        <w:ind w:left="1244" w:right="1095"/>
        <w:jc w:val="left"/>
      </w:pPr>
      <w:r>
        <w:t xml:space="preserve">On application </w:t>
      </w:r>
      <w:r>
        <w:tab/>
      </w:r>
      <w:r>
        <w:tab/>
      </w:r>
      <w:r>
        <w:tab/>
      </w:r>
      <w:r>
        <w:tab/>
      </w:r>
      <w:r>
        <w:t xml:space="preserve">RM 0.60 per share </w:t>
      </w:r>
    </w:p>
    <w:p w14:paraId="76556AD0" w14:textId="77777777" w:rsidR="00AF475A" w:rsidRDefault="00AF475A" w:rsidP="00AF475A">
      <w:pPr>
        <w:spacing w:after="4" w:line="276" w:lineRule="auto"/>
        <w:ind w:left="1244" w:right="1095"/>
        <w:jc w:val="left"/>
      </w:pPr>
      <w:r>
        <w:t xml:space="preserve">On allotment, including premium </w:t>
      </w:r>
      <w:r>
        <w:tab/>
        <w:t xml:space="preserve">RM 1.00 per share </w:t>
      </w:r>
    </w:p>
    <w:p w14:paraId="3B65F965" w14:textId="37EED0E0" w:rsidR="00AF475A" w:rsidRDefault="00AF475A" w:rsidP="00AF475A">
      <w:pPr>
        <w:spacing w:after="4" w:line="276" w:lineRule="auto"/>
        <w:ind w:left="1244" w:right="1095"/>
        <w:jc w:val="left"/>
      </w:pPr>
      <w:r>
        <w:t xml:space="preserve">On first and final call </w:t>
      </w:r>
      <w:r>
        <w:tab/>
      </w:r>
      <w:r>
        <w:rPr>
          <w:color w:val="FF0000"/>
        </w:rPr>
        <w:t xml:space="preserve">                  </w:t>
      </w:r>
      <w:r>
        <w:rPr>
          <w:color w:val="FF0000"/>
        </w:rPr>
        <w:tab/>
      </w:r>
      <w:r>
        <w:rPr>
          <w:color w:val="FF0000"/>
        </w:rPr>
        <w:tab/>
        <w:t xml:space="preserve"> </w:t>
      </w:r>
      <w:r>
        <w:rPr>
          <w:b/>
          <w:color w:val="FF0000"/>
        </w:rPr>
        <w:t>?</w:t>
      </w:r>
      <w:r>
        <w:rPr>
          <w:b/>
        </w:rPr>
        <w:t xml:space="preserve"> </w:t>
      </w:r>
    </w:p>
    <w:p w14:paraId="521D5DE6" w14:textId="77777777" w:rsidR="00AF475A" w:rsidRDefault="00AF475A" w:rsidP="00AF475A">
      <w:pPr>
        <w:spacing w:after="0" w:line="276" w:lineRule="auto"/>
        <w:ind w:left="0" w:firstLine="0"/>
        <w:jc w:val="left"/>
      </w:pPr>
      <w:r>
        <w:t xml:space="preserve"> </w:t>
      </w:r>
    </w:p>
    <w:p w14:paraId="4BA821F6" w14:textId="77777777" w:rsidR="00AF475A" w:rsidRDefault="00AF475A" w:rsidP="00AF475A">
      <w:pPr>
        <w:spacing w:after="32" w:line="276" w:lineRule="auto"/>
        <w:ind w:left="0" w:right="382"/>
      </w:pPr>
      <w:r>
        <w:t xml:space="preserve">On 15 January 2021, applications had been received for 335,000 shares and the company decided to deal with them as follows: </w:t>
      </w:r>
    </w:p>
    <w:p w14:paraId="0C2BB94E" w14:textId="77777777" w:rsidR="00AF475A" w:rsidRDefault="00AF475A" w:rsidP="00AF475A">
      <w:pPr>
        <w:numPr>
          <w:ilvl w:val="1"/>
          <w:numId w:val="1"/>
        </w:numPr>
        <w:spacing w:after="40" w:line="276" w:lineRule="auto"/>
        <w:ind w:left="720" w:right="382" w:hanging="720"/>
      </w:pPr>
      <w:r>
        <w:t xml:space="preserve">To return cheques to applicants for 35,000 shares; </w:t>
      </w:r>
    </w:p>
    <w:p w14:paraId="04709E23" w14:textId="77777777" w:rsidR="00AF475A" w:rsidRDefault="00AF475A" w:rsidP="00AF475A">
      <w:pPr>
        <w:numPr>
          <w:ilvl w:val="1"/>
          <w:numId w:val="1"/>
        </w:numPr>
        <w:spacing w:line="276" w:lineRule="auto"/>
        <w:ind w:left="720" w:right="382" w:hanging="720"/>
      </w:pPr>
      <w:r>
        <w:t xml:space="preserve">To accept in full applications for 100,000 shares; </w:t>
      </w:r>
    </w:p>
    <w:p w14:paraId="6F6F4C0D" w14:textId="77777777" w:rsidR="00AF475A" w:rsidRDefault="00AF475A" w:rsidP="00AF475A">
      <w:pPr>
        <w:numPr>
          <w:ilvl w:val="1"/>
          <w:numId w:val="1"/>
        </w:numPr>
        <w:spacing w:line="276" w:lineRule="auto"/>
        <w:ind w:left="720" w:right="382" w:hanging="720"/>
      </w:pPr>
      <w:r>
        <w:t xml:space="preserve">To allot the remaining shares pro rata on the basis of 1 shares for every 2 shares applied for. The excess application monies by the successful applicants were not refunded, but to be used as part payment of amounts due on allotment. </w:t>
      </w:r>
    </w:p>
    <w:p w14:paraId="1BC5766D" w14:textId="77777777" w:rsidR="00AF475A" w:rsidRDefault="00AF475A" w:rsidP="00AF475A">
      <w:pPr>
        <w:spacing w:after="0" w:line="276" w:lineRule="auto"/>
        <w:ind w:left="0" w:firstLine="0"/>
        <w:jc w:val="left"/>
      </w:pPr>
      <w:r>
        <w:t xml:space="preserve"> </w:t>
      </w:r>
    </w:p>
    <w:p w14:paraId="015CF610" w14:textId="77777777" w:rsidR="00AF475A" w:rsidRDefault="00AF475A" w:rsidP="00AF475A">
      <w:pPr>
        <w:spacing w:after="5" w:line="276" w:lineRule="auto"/>
        <w:ind w:left="0" w:right="113" w:hanging="10"/>
      </w:pPr>
      <w:r>
        <w:t xml:space="preserve">The shares were allotted on 31 January 2021 and the unsuccessful applicants were repaid their cash at this date. The balance of the allotment monies was received on 10 Feb 2021. </w:t>
      </w:r>
    </w:p>
    <w:p w14:paraId="66587BB5" w14:textId="77777777" w:rsidR="00AF475A" w:rsidRDefault="00AF475A" w:rsidP="00AF475A">
      <w:pPr>
        <w:spacing w:after="0" w:line="276" w:lineRule="auto"/>
        <w:ind w:left="0" w:firstLine="0"/>
        <w:jc w:val="left"/>
      </w:pPr>
      <w:r>
        <w:t xml:space="preserve"> </w:t>
      </w:r>
    </w:p>
    <w:p w14:paraId="6B8EBBEC" w14:textId="77777777" w:rsidR="00AF475A" w:rsidRDefault="00AF475A" w:rsidP="00AF475A">
      <w:pPr>
        <w:spacing w:line="276" w:lineRule="auto"/>
        <w:ind w:left="0" w:right="382"/>
      </w:pPr>
      <w:r>
        <w:t xml:space="preserve">The first and final calls were made on 1 March 2021 and the monies were fully received on 31 March 2021 except for a shareholder who failed to pay the call money on 5,000 shares allotted to him. </w:t>
      </w:r>
    </w:p>
    <w:p w14:paraId="5DCC4AFD" w14:textId="77777777" w:rsidR="00AF475A" w:rsidRDefault="00AF475A" w:rsidP="00AF475A">
      <w:pPr>
        <w:spacing w:after="0" w:line="276" w:lineRule="auto"/>
        <w:ind w:left="0" w:firstLine="0"/>
        <w:jc w:val="left"/>
      </w:pPr>
      <w:r>
        <w:t xml:space="preserve"> </w:t>
      </w:r>
    </w:p>
    <w:p w14:paraId="0165A84D" w14:textId="77777777" w:rsidR="00AF475A" w:rsidRDefault="00AF475A" w:rsidP="00AF475A">
      <w:pPr>
        <w:spacing w:line="276" w:lineRule="auto"/>
        <w:ind w:left="0" w:right="382"/>
      </w:pPr>
      <w:r>
        <w:t xml:space="preserve">After the completion of the issue of ordinary shares, the company also made an issue of RM 300,000 7% loan notes at a discount of 1%, payable in full on application. </w:t>
      </w:r>
    </w:p>
    <w:p w14:paraId="33F64407" w14:textId="77777777" w:rsidR="00AF475A" w:rsidRDefault="00AF475A" w:rsidP="00AF475A">
      <w:pPr>
        <w:spacing w:after="0" w:line="276" w:lineRule="auto"/>
        <w:ind w:left="0" w:firstLine="0"/>
        <w:jc w:val="left"/>
      </w:pPr>
      <w:r>
        <w:t xml:space="preserve"> </w:t>
      </w:r>
    </w:p>
    <w:p w14:paraId="099C80E9" w14:textId="77777777" w:rsidR="00AF475A" w:rsidRDefault="00AF475A" w:rsidP="00AF475A">
      <w:pPr>
        <w:spacing w:line="276" w:lineRule="auto"/>
        <w:ind w:left="0" w:right="382"/>
      </w:pPr>
      <w:r>
        <w:t xml:space="preserve">On 15 May 2021, applications were received for RM 380,000 of loan notes. Allotment was made on 31 May 2021 and the excess application monies refunded on the same date.  </w:t>
      </w:r>
    </w:p>
    <w:p w14:paraId="540A2ABF" w14:textId="77777777" w:rsidR="00AF475A" w:rsidRDefault="00AF475A" w:rsidP="00AF475A">
      <w:pPr>
        <w:spacing w:after="0" w:line="276" w:lineRule="auto"/>
        <w:ind w:left="0" w:firstLine="0"/>
        <w:jc w:val="left"/>
      </w:pPr>
      <w:r>
        <w:t xml:space="preserve"> </w:t>
      </w:r>
    </w:p>
    <w:p w14:paraId="2516B725" w14:textId="77777777" w:rsidR="00AF475A" w:rsidRDefault="00AF475A" w:rsidP="00AF475A">
      <w:pPr>
        <w:spacing w:line="276" w:lineRule="auto"/>
        <w:ind w:left="0" w:right="382"/>
      </w:pPr>
      <w:r>
        <w:t xml:space="preserve">On 30 June 2021, an interim dividend of RM 0.08 per ordinary share was declared and approved. This dividend subsequently paid on 1 August 2021. </w:t>
      </w:r>
    </w:p>
    <w:p w14:paraId="6CEC8755" w14:textId="77777777" w:rsidR="00AF475A" w:rsidRDefault="00AF475A" w:rsidP="00AF475A">
      <w:pPr>
        <w:spacing w:after="0" w:line="276" w:lineRule="auto"/>
        <w:ind w:left="0" w:firstLine="0"/>
        <w:jc w:val="left"/>
      </w:pPr>
    </w:p>
    <w:p w14:paraId="1E3168BA" w14:textId="77777777" w:rsidR="00E21052" w:rsidRDefault="00E21052" w:rsidP="00E818F2">
      <w:pPr>
        <w:spacing w:after="0" w:line="276" w:lineRule="auto"/>
        <w:ind w:left="0" w:firstLine="0"/>
        <w:jc w:val="left"/>
        <w:rPr>
          <w:b/>
          <w:bCs/>
        </w:rPr>
      </w:pPr>
    </w:p>
    <w:p w14:paraId="5518A0F9" w14:textId="688B6024" w:rsidR="00AF475A" w:rsidRPr="00E818F2" w:rsidRDefault="00AF475A" w:rsidP="00E818F2">
      <w:pPr>
        <w:spacing w:after="0" w:line="276" w:lineRule="auto"/>
        <w:ind w:left="0" w:firstLine="0"/>
        <w:jc w:val="left"/>
      </w:pPr>
      <w:r w:rsidRPr="00AF475A">
        <w:rPr>
          <w:b/>
          <w:bCs/>
        </w:rPr>
        <w:lastRenderedPageBreak/>
        <w:t xml:space="preserve">You are required to: </w:t>
      </w:r>
      <w:r w:rsidRPr="00AF475A">
        <w:rPr>
          <w:b/>
          <w:bCs/>
        </w:rPr>
        <w:tab/>
      </w:r>
    </w:p>
    <w:p w14:paraId="2CE44341" w14:textId="5E9D3D3A" w:rsidR="00AF475A" w:rsidRDefault="00AF475A" w:rsidP="00AF475A">
      <w:pPr>
        <w:pStyle w:val="ListParagraph"/>
        <w:numPr>
          <w:ilvl w:val="0"/>
          <w:numId w:val="3"/>
        </w:numPr>
        <w:spacing w:line="276" w:lineRule="auto"/>
        <w:ind w:left="567" w:hanging="567"/>
      </w:pPr>
      <w:r>
        <w:t xml:space="preserve">Calculate  </w:t>
      </w:r>
    </w:p>
    <w:p w14:paraId="4BF4E370" w14:textId="5142BE19" w:rsidR="00AF475A" w:rsidRDefault="00AF475A" w:rsidP="00AF475A">
      <w:pPr>
        <w:pStyle w:val="ListParagraph"/>
        <w:numPr>
          <w:ilvl w:val="0"/>
          <w:numId w:val="4"/>
        </w:numPr>
        <w:spacing w:line="276" w:lineRule="auto"/>
        <w:ind w:left="1276" w:hanging="644"/>
      </w:pPr>
      <w:r>
        <w:t xml:space="preserve">excess application monies; </w:t>
      </w:r>
    </w:p>
    <w:p w14:paraId="0CC61CD4" w14:textId="0883B1BB" w:rsidR="00AF475A" w:rsidRDefault="00AF475A" w:rsidP="00AF475A">
      <w:pPr>
        <w:pStyle w:val="ListParagraph"/>
        <w:numPr>
          <w:ilvl w:val="0"/>
          <w:numId w:val="4"/>
        </w:numPr>
        <w:spacing w:line="276" w:lineRule="auto"/>
        <w:ind w:left="1276" w:hanging="644"/>
      </w:pPr>
      <w:r>
        <w:t xml:space="preserve">first and final call per share, which is mark as “ ? ” above; and </w:t>
      </w:r>
    </w:p>
    <w:p w14:paraId="274C9C07" w14:textId="3F4614F2" w:rsidR="00AF475A" w:rsidRDefault="00AF475A" w:rsidP="00AF475A">
      <w:pPr>
        <w:pStyle w:val="ListParagraph"/>
        <w:numPr>
          <w:ilvl w:val="0"/>
          <w:numId w:val="4"/>
        </w:numPr>
        <w:spacing w:line="276" w:lineRule="auto"/>
        <w:ind w:left="1276" w:hanging="644"/>
      </w:pPr>
      <w:r>
        <w:t xml:space="preserve">the interim dividend on Ordinary Shares. </w:t>
      </w:r>
    </w:p>
    <w:p w14:paraId="410A760F" w14:textId="7E9E62B9" w:rsidR="00AF475A" w:rsidRDefault="00AF475A" w:rsidP="00AF475A">
      <w:pPr>
        <w:pStyle w:val="ListParagraph"/>
        <w:numPr>
          <w:ilvl w:val="0"/>
          <w:numId w:val="3"/>
        </w:numPr>
        <w:spacing w:line="276" w:lineRule="auto"/>
        <w:ind w:left="567" w:hanging="567"/>
      </w:pPr>
      <w:r>
        <w:t xml:space="preserve">Prepare Journal entries (without narrations), to record the above issue of shares and loan notes; </w:t>
      </w:r>
    </w:p>
    <w:p w14:paraId="495FFC29" w14:textId="1D3E591B" w:rsidR="00AF475A" w:rsidRDefault="00AF475A" w:rsidP="00AF475A">
      <w:pPr>
        <w:pStyle w:val="ListParagraph"/>
        <w:numPr>
          <w:ilvl w:val="0"/>
          <w:numId w:val="3"/>
        </w:numPr>
        <w:spacing w:line="276" w:lineRule="auto"/>
        <w:ind w:left="567" w:hanging="567"/>
      </w:pPr>
      <w:r>
        <w:t xml:space="preserve">Prepare Ordinary Share Capital account; </w:t>
      </w:r>
    </w:p>
    <w:p w14:paraId="0147F86E" w14:textId="2E081E1A" w:rsidR="008C02CC" w:rsidRDefault="00AF475A" w:rsidP="00AF475A">
      <w:pPr>
        <w:pStyle w:val="ListParagraph"/>
        <w:numPr>
          <w:ilvl w:val="0"/>
          <w:numId w:val="3"/>
        </w:numPr>
        <w:spacing w:line="276" w:lineRule="auto"/>
        <w:ind w:left="567" w:hanging="567"/>
      </w:pPr>
      <w:r>
        <w:t xml:space="preserve">Show “Equity and Liabilities section” as it would appear on the </w:t>
      </w:r>
      <w:r>
        <w:t xml:space="preserve"> </w:t>
      </w:r>
      <w:r>
        <w:t>company’s extracted Statement of Financial Position as at 30 June 2021.</w:t>
      </w:r>
    </w:p>
    <w:sectPr w:rsidR="008C02CC" w:rsidSect="001A2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0523"/>
    <w:multiLevelType w:val="hybridMultilevel"/>
    <w:tmpl w:val="70CCD324"/>
    <w:lvl w:ilvl="0" w:tplc="9614EC34">
      <w:start w:val="1"/>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7ED214">
      <w:start w:val="1"/>
      <w:numFmt w:val="lowerRoman"/>
      <w:lvlText w:val="(%2)"/>
      <w:lvlJc w:val="left"/>
      <w:pPr>
        <w:ind w:left="1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3C715E">
      <w:start w:val="1"/>
      <w:numFmt w:val="lowerRoman"/>
      <w:lvlText w:val="(%3)"/>
      <w:lvlJc w:val="left"/>
      <w:pPr>
        <w:ind w:left="1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309B10">
      <w:start w:val="1"/>
      <w:numFmt w:val="decimal"/>
      <w:lvlText w:val="%4"/>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44080">
      <w:start w:val="1"/>
      <w:numFmt w:val="lowerLetter"/>
      <w:lvlText w:val="%5"/>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AE13E">
      <w:start w:val="1"/>
      <w:numFmt w:val="lowerRoman"/>
      <w:lvlText w:val="%6"/>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327094">
      <w:start w:val="1"/>
      <w:numFmt w:val="decimal"/>
      <w:lvlText w:val="%7"/>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88BACA">
      <w:start w:val="1"/>
      <w:numFmt w:val="lowerLetter"/>
      <w:lvlText w:val="%8"/>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7E19A0">
      <w:start w:val="1"/>
      <w:numFmt w:val="lowerRoman"/>
      <w:lvlText w:val="%9"/>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EE64C2"/>
    <w:multiLevelType w:val="hybridMultilevel"/>
    <w:tmpl w:val="4F3E948A"/>
    <w:lvl w:ilvl="0" w:tplc="1D548616">
      <w:start w:val="1"/>
      <w:numFmt w:val="lowerRoman"/>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0066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266D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9AF9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9EF7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0BE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B812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40C4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212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5C41CD"/>
    <w:multiLevelType w:val="hybridMultilevel"/>
    <w:tmpl w:val="160E891A"/>
    <w:lvl w:ilvl="0" w:tplc="BB367DDA">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6870BA6"/>
    <w:multiLevelType w:val="hybridMultilevel"/>
    <w:tmpl w:val="172A2BB2"/>
    <w:lvl w:ilvl="0" w:tplc="188882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1580064">
    <w:abstractNumId w:val="0"/>
  </w:num>
  <w:num w:numId="2" w16cid:durableId="335424823">
    <w:abstractNumId w:val="1"/>
  </w:num>
  <w:num w:numId="3" w16cid:durableId="1039666806">
    <w:abstractNumId w:val="3"/>
  </w:num>
  <w:num w:numId="4" w16cid:durableId="535891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5A"/>
    <w:rsid w:val="00140178"/>
    <w:rsid w:val="001A27B9"/>
    <w:rsid w:val="008C02CC"/>
    <w:rsid w:val="00A921C9"/>
    <w:rsid w:val="00AF475A"/>
    <w:rsid w:val="00E21052"/>
    <w:rsid w:val="00E818F2"/>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72CF"/>
  <w15:chartTrackingRefBased/>
  <w15:docId w15:val="{44F0D2D4-5A91-D349-AB43-4009001C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75A"/>
    <w:pPr>
      <w:spacing w:after="7" w:line="248" w:lineRule="auto"/>
      <w:ind w:left="84" w:firstLine="2"/>
      <w:jc w:val="both"/>
    </w:pPr>
    <w:rPr>
      <w:rFonts w:ascii="Times New Roman" w:eastAsia="Times New Roman" w:hAnsi="Times New Roman" w:cs="Times New Roman"/>
      <w:color w:val="000000"/>
      <w:lang w:eastAsia="en-MY" w:bidi="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F475A"/>
    <w:tblPr>
      <w:tblCellMar>
        <w:top w:w="0" w:type="dxa"/>
        <w:left w:w="0" w:type="dxa"/>
        <w:bottom w:w="0" w:type="dxa"/>
        <w:right w:w="0" w:type="dxa"/>
      </w:tblCellMar>
    </w:tblPr>
  </w:style>
  <w:style w:type="paragraph" w:styleId="ListParagraph">
    <w:name w:val="List Paragraph"/>
    <w:basedOn w:val="Normal"/>
    <w:uiPriority w:val="34"/>
    <w:qFormat/>
    <w:rsid w:val="00AF4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4</cp:revision>
  <dcterms:created xsi:type="dcterms:W3CDTF">2023-04-26T01:05:00Z</dcterms:created>
  <dcterms:modified xsi:type="dcterms:W3CDTF">2023-04-26T01:12:00Z</dcterms:modified>
</cp:coreProperties>
</file>