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C404" w14:textId="1ECF0865" w:rsidR="00EB11FA" w:rsidRPr="00EB11FA" w:rsidRDefault="00EB11FA" w:rsidP="00EB11FA">
      <w:pPr>
        <w:spacing w:after="268" w:line="276" w:lineRule="auto"/>
        <w:ind w:left="480" w:right="50" w:hanging="480"/>
        <w:rPr>
          <w:b/>
          <w:bCs/>
          <w:lang w:val="en-US"/>
        </w:rPr>
      </w:pPr>
      <w:r w:rsidRPr="00D8323D">
        <w:rPr>
          <w:b/>
          <w:bCs/>
        </w:rPr>
        <w:t>2022 Confucian Private Secondary</w:t>
      </w:r>
      <w:r w:rsidRPr="00D8323D">
        <w:rPr>
          <w:b/>
          <w:bCs/>
          <w:lang w:val="en-US"/>
        </w:rPr>
        <w:t xml:space="preserve"> Paper 2 Question </w:t>
      </w:r>
      <w:r>
        <w:rPr>
          <w:b/>
          <w:bCs/>
          <w:lang w:val="en-US"/>
        </w:rPr>
        <w:t>4</w:t>
      </w:r>
    </w:p>
    <w:p w14:paraId="1AF3FD58" w14:textId="1D95543F" w:rsidR="002D37F5" w:rsidRPr="00EC3CC9" w:rsidRDefault="002D37F5" w:rsidP="002D37F5">
      <w:pPr>
        <w:ind w:left="0" w:right="382" w:firstLine="0"/>
      </w:pPr>
      <w:r w:rsidRPr="00EC3CC9">
        <w:t xml:space="preserve">Summer Ltd consigned, as a sales trial, 100 cases of goods, costing RM 160 per case, from their warehouse in Penang, to their agents KK Trading in Kuantan, on 1 July 2021. The consignor paid insurance of RM 140 and freight of RM 260 on 5 July 2021. </w:t>
      </w:r>
    </w:p>
    <w:p w14:paraId="1D4ACCBF" w14:textId="77777777" w:rsidR="002D37F5" w:rsidRPr="00EC3CC9" w:rsidRDefault="002D37F5" w:rsidP="002D37F5">
      <w:pPr>
        <w:spacing w:after="0" w:line="259" w:lineRule="auto"/>
        <w:ind w:firstLine="0"/>
        <w:jc w:val="left"/>
      </w:pPr>
      <w:r w:rsidRPr="00EC3CC9">
        <w:t xml:space="preserve"> </w:t>
      </w:r>
    </w:p>
    <w:p w14:paraId="599D8291" w14:textId="77777777" w:rsidR="002D37F5" w:rsidRPr="00EC3CC9" w:rsidRDefault="002D37F5" w:rsidP="002D37F5">
      <w:pPr>
        <w:ind w:left="0" w:right="382"/>
      </w:pPr>
      <w:r w:rsidRPr="00EC3CC9">
        <w:t xml:space="preserve">On receiving the goods, KK trading found that the contents of 8 cases were completely broken; KK Trading advised Summer Ltd of this loss on 8 July 2021. A claim of RM 900 was made on Manulife Insurance on the same date. </w:t>
      </w:r>
    </w:p>
    <w:p w14:paraId="0AA6E3F3" w14:textId="77777777" w:rsidR="002D37F5" w:rsidRPr="00EC3CC9" w:rsidRDefault="002D37F5" w:rsidP="002D37F5">
      <w:pPr>
        <w:spacing w:after="0" w:line="259" w:lineRule="auto"/>
        <w:ind w:left="0" w:firstLine="0"/>
        <w:jc w:val="left"/>
      </w:pPr>
      <w:r w:rsidRPr="00EC3CC9">
        <w:t xml:space="preserve"> </w:t>
      </w:r>
    </w:p>
    <w:p w14:paraId="3F838AA3" w14:textId="77777777" w:rsidR="002D37F5" w:rsidRPr="00EC3CC9" w:rsidRDefault="002D37F5" w:rsidP="002D37F5">
      <w:pPr>
        <w:ind w:left="0" w:right="382"/>
      </w:pPr>
      <w:r w:rsidRPr="00EC3CC9">
        <w:t xml:space="preserve">The agreement between Summer Ltd and his agent provided for a commission on sales of 10% plus 2.5% del credere commission.  </w:t>
      </w:r>
    </w:p>
    <w:p w14:paraId="346A733F" w14:textId="77777777" w:rsidR="002D37F5" w:rsidRPr="00EC3CC9" w:rsidRDefault="002D37F5" w:rsidP="002D37F5">
      <w:pPr>
        <w:spacing w:after="0" w:line="259" w:lineRule="auto"/>
        <w:ind w:left="0" w:firstLine="0"/>
        <w:jc w:val="left"/>
      </w:pPr>
      <w:r w:rsidRPr="00EC3CC9">
        <w:t xml:space="preserve"> </w:t>
      </w:r>
    </w:p>
    <w:p w14:paraId="72D3FE2B" w14:textId="77777777" w:rsidR="002D37F5" w:rsidRPr="00EC3CC9" w:rsidRDefault="002D37F5" w:rsidP="002D37F5">
      <w:pPr>
        <w:spacing w:after="113"/>
        <w:ind w:left="0" w:right="382"/>
      </w:pPr>
      <w:r w:rsidRPr="00EC3CC9">
        <w:t xml:space="preserve">On 31 December 2021, the date of the financial year end of both Summer Ltd and KK Trading where KK Trading sent an Account Sales setting out the following items: </w:t>
      </w:r>
    </w:p>
    <w:p w14:paraId="162C44B8" w14:textId="77777777" w:rsidR="002D37F5" w:rsidRPr="00FF3926" w:rsidRDefault="002D37F5" w:rsidP="002D37F5">
      <w:pPr>
        <w:pBdr>
          <w:bottom w:val="single" w:sz="6" w:space="1" w:color="auto"/>
        </w:pBdr>
        <w:tabs>
          <w:tab w:val="center" w:pos="4378"/>
          <w:tab w:val="center" w:pos="9235"/>
        </w:tabs>
        <w:spacing w:after="3" w:line="259" w:lineRule="auto"/>
        <w:ind w:left="0" w:firstLine="0"/>
        <w:jc w:val="left"/>
        <w:rPr>
          <w:b/>
          <w:bCs/>
        </w:rPr>
      </w:pPr>
      <w:r w:rsidRPr="00EC3CC9">
        <w:rPr>
          <w:rFonts w:eastAsia="Calibri"/>
          <w:sz w:val="22"/>
        </w:rPr>
        <w:tab/>
      </w:r>
      <w:r w:rsidRPr="00EC3CC9">
        <w:rPr>
          <w:b/>
        </w:rPr>
        <w:t xml:space="preserve">            </w:t>
      </w:r>
      <w:r w:rsidRPr="00FF3926">
        <w:rPr>
          <w:b/>
          <w:bCs/>
        </w:rPr>
        <w:t xml:space="preserve">Account Sales </w:t>
      </w:r>
    </w:p>
    <w:p w14:paraId="39ADFF2F" w14:textId="00947517" w:rsidR="002D37F5" w:rsidRPr="00EC3CC9" w:rsidRDefault="002D37F5" w:rsidP="002D37F5">
      <w:pPr>
        <w:tabs>
          <w:tab w:val="center" w:pos="4378"/>
          <w:tab w:val="center" w:pos="9235"/>
        </w:tabs>
        <w:spacing w:after="3" w:line="259" w:lineRule="auto"/>
        <w:ind w:left="0" w:firstLine="0"/>
        <w:jc w:val="left"/>
      </w:pPr>
      <w:r w:rsidRPr="00FF3926">
        <w:rPr>
          <w:b/>
          <w:bCs/>
        </w:rPr>
        <w:tab/>
        <w:t xml:space="preserve"> Consignment of goods sold on behalf of Summer Lt</w:t>
      </w:r>
      <w:r w:rsidR="00EC3CC9" w:rsidRPr="00FF3926">
        <w:rPr>
          <w:b/>
          <w:bCs/>
        </w:rPr>
        <w:t>d</w:t>
      </w:r>
      <w:r w:rsidRPr="00EC3CC9">
        <w:tab/>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134"/>
        <w:gridCol w:w="1083"/>
      </w:tblGrid>
      <w:tr w:rsidR="00EC3CC9" w:rsidRPr="00EC3CC9" w14:paraId="30CA3740" w14:textId="77777777" w:rsidTr="00EC3CC9">
        <w:tc>
          <w:tcPr>
            <w:tcW w:w="6799" w:type="dxa"/>
          </w:tcPr>
          <w:p w14:paraId="49B6E6DE" w14:textId="77777777" w:rsidR="00EC3CC9" w:rsidRPr="00EC3CC9" w:rsidRDefault="00EC3CC9" w:rsidP="00EC3CC9">
            <w:pPr>
              <w:tabs>
                <w:tab w:val="center" w:pos="3295"/>
                <w:tab w:val="center" w:pos="7688"/>
                <w:tab w:val="center" w:pos="8241"/>
                <w:tab w:val="center" w:pos="9232"/>
              </w:tabs>
              <w:spacing w:after="30"/>
              <w:ind w:left="0" w:firstLine="0"/>
              <w:jc w:val="left"/>
            </w:pPr>
          </w:p>
        </w:tc>
        <w:tc>
          <w:tcPr>
            <w:tcW w:w="1134" w:type="dxa"/>
          </w:tcPr>
          <w:p w14:paraId="08C3A36D" w14:textId="0CE12559" w:rsidR="00EC3CC9" w:rsidRPr="00EC3CC9" w:rsidRDefault="00EC3CC9" w:rsidP="00EC3CC9">
            <w:pPr>
              <w:tabs>
                <w:tab w:val="center" w:pos="3295"/>
                <w:tab w:val="center" w:pos="7688"/>
                <w:tab w:val="center" w:pos="8241"/>
                <w:tab w:val="center" w:pos="9232"/>
              </w:tabs>
              <w:spacing w:after="30"/>
              <w:ind w:left="0" w:firstLine="0"/>
              <w:jc w:val="center"/>
              <w:rPr>
                <w:rFonts w:eastAsia="Calibri"/>
                <w:b/>
                <w:bCs/>
                <w:sz w:val="22"/>
              </w:rPr>
            </w:pPr>
            <w:r w:rsidRPr="00EC3CC9">
              <w:rPr>
                <w:rFonts w:eastAsia="Calibri"/>
                <w:b/>
                <w:bCs/>
                <w:sz w:val="22"/>
              </w:rPr>
              <w:t xml:space="preserve">      RM</w:t>
            </w:r>
          </w:p>
        </w:tc>
        <w:tc>
          <w:tcPr>
            <w:tcW w:w="1083" w:type="dxa"/>
          </w:tcPr>
          <w:p w14:paraId="546138BB" w14:textId="609A9EB5" w:rsidR="00EC3CC9" w:rsidRPr="00EC3CC9" w:rsidRDefault="00EC3CC9" w:rsidP="00EC3CC9">
            <w:pPr>
              <w:tabs>
                <w:tab w:val="center" w:pos="3295"/>
                <w:tab w:val="center" w:pos="7688"/>
                <w:tab w:val="center" w:pos="8241"/>
                <w:tab w:val="center" w:pos="9232"/>
              </w:tabs>
              <w:spacing w:after="30"/>
              <w:ind w:left="0" w:firstLine="0"/>
              <w:jc w:val="center"/>
              <w:rPr>
                <w:rFonts w:eastAsia="Calibri"/>
                <w:b/>
                <w:bCs/>
                <w:sz w:val="22"/>
              </w:rPr>
            </w:pPr>
            <w:r w:rsidRPr="00EC3CC9">
              <w:rPr>
                <w:rFonts w:eastAsia="Calibri"/>
                <w:b/>
                <w:bCs/>
                <w:sz w:val="22"/>
              </w:rPr>
              <w:t xml:space="preserve">     RM</w:t>
            </w:r>
          </w:p>
        </w:tc>
      </w:tr>
      <w:tr w:rsidR="00EC3CC9" w:rsidRPr="00EC3CC9" w14:paraId="3875E8D2" w14:textId="77777777" w:rsidTr="00EC3CC9">
        <w:tc>
          <w:tcPr>
            <w:tcW w:w="6799" w:type="dxa"/>
          </w:tcPr>
          <w:p w14:paraId="22FC8F2B" w14:textId="79B72A3E"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Sales on credit (80 cases x RM 240 per case) </w:t>
            </w:r>
          </w:p>
        </w:tc>
        <w:tc>
          <w:tcPr>
            <w:tcW w:w="1134" w:type="dxa"/>
          </w:tcPr>
          <w:p w14:paraId="4E0D20CA"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c>
          <w:tcPr>
            <w:tcW w:w="1083" w:type="dxa"/>
          </w:tcPr>
          <w:p w14:paraId="68AFB9C0" w14:textId="0B036DA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19,200</w:t>
            </w:r>
          </w:p>
        </w:tc>
      </w:tr>
      <w:tr w:rsidR="00EC3CC9" w:rsidRPr="00EC3CC9" w14:paraId="2512C49B" w14:textId="77777777" w:rsidTr="00EC3CC9">
        <w:tc>
          <w:tcPr>
            <w:tcW w:w="6799" w:type="dxa"/>
          </w:tcPr>
          <w:p w14:paraId="1E71939D" w14:textId="35C9E39C"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Less:</w:t>
            </w:r>
            <w:r w:rsidRPr="00EC3CC9">
              <w:t xml:space="preserve"> </w:t>
            </w:r>
            <w:r w:rsidRPr="00EC3CC9">
              <w:t xml:space="preserve">Expenses Incurred </w:t>
            </w:r>
          </w:p>
        </w:tc>
        <w:tc>
          <w:tcPr>
            <w:tcW w:w="1134" w:type="dxa"/>
          </w:tcPr>
          <w:p w14:paraId="0638A0EA"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c>
          <w:tcPr>
            <w:tcW w:w="1083" w:type="dxa"/>
          </w:tcPr>
          <w:p w14:paraId="4581F14C"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r>
      <w:tr w:rsidR="00EC3CC9" w:rsidRPr="00EC3CC9" w14:paraId="3EFE3CCE" w14:textId="77777777" w:rsidTr="00EC3CC9">
        <w:tc>
          <w:tcPr>
            <w:tcW w:w="6799" w:type="dxa"/>
          </w:tcPr>
          <w:p w14:paraId="5C0D3989" w14:textId="63D898D4"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         Storage Expenses  (in respect of 92 cases) </w:t>
            </w:r>
          </w:p>
        </w:tc>
        <w:tc>
          <w:tcPr>
            <w:tcW w:w="1134" w:type="dxa"/>
          </w:tcPr>
          <w:p w14:paraId="026524B3" w14:textId="02DDF2FF"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275</w:t>
            </w:r>
          </w:p>
        </w:tc>
        <w:tc>
          <w:tcPr>
            <w:tcW w:w="1083" w:type="dxa"/>
          </w:tcPr>
          <w:p w14:paraId="7D3D9807"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r>
      <w:tr w:rsidR="00EC3CC9" w:rsidRPr="00EC3CC9" w14:paraId="70DE48C4" w14:textId="77777777" w:rsidTr="00EC3CC9">
        <w:tc>
          <w:tcPr>
            <w:tcW w:w="6799" w:type="dxa"/>
          </w:tcPr>
          <w:p w14:paraId="3A6F89C5" w14:textId="076BE147"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         Packaging  (in respect of 92 cases) </w:t>
            </w:r>
          </w:p>
        </w:tc>
        <w:tc>
          <w:tcPr>
            <w:tcW w:w="1134" w:type="dxa"/>
          </w:tcPr>
          <w:p w14:paraId="640529B9" w14:textId="6DAE97A5"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185</w:t>
            </w:r>
          </w:p>
        </w:tc>
        <w:tc>
          <w:tcPr>
            <w:tcW w:w="1083" w:type="dxa"/>
          </w:tcPr>
          <w:p w14:paraId="351E9246"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r>
      <w:tr w:rsidR="00EC3CC9" w:rsidRPr="00EC3CC9" w14:paraId="78F7CB41" w14:textId="77777777" w:rsidTr="00EC3CC9">
        <w:tc>
          <w:tcPr>
            <w:tcW w:w="6799" w:type="dxa"/>
          </w:tcPr>
          <w:p w14:paraId="1A9A7008" w14:textId="50AE0642"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         Selling Expenses (in respect of 80 cases) </w:t>
            </w:r>
          </w:p>
        </w:tc>
        <w:tc>
          <w:tcPr>
            <w:tcW w:w="1134" w:type="dxa"/>
          </w:tcPr>
          <w:p w14:paraId="31C89AE1" w14:textId="36F5ADF9"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240</w:t>
            </w:r>
          </w:p>
        </w:tc>
        <w:tc>
          <w:tcPr>
            <w:tcW w:w="1083" w:type="dxa"/>
          </w:tcPr>
          <w:p w14:paraId="77EA7783"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r>
      <w:tr w:rsidR="00EC3CC9" w:rsidRPr="00EC3CC9" w14:paraId="05F31B2E" w14:textId="77777777" w:rsidTr="00EC3CC9">
        <w:tc>
          <w:tcPr>
            <w:tcW w:w="6799" w:type="dxa"/>
          </w:tcPr>
          <w:p w14:paraId="553D87C1" w14:textId="3F32E4EC"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         10% Selling Commission (10% x RM 19,200) </w:t>
            </w:r>
          </w:p>
        </w:tc>
        <w:tc>
          <w:tcPr>
            <w:tcW w:w="1134" w:type="dxa"/>
          </w:tcPr>
          <w:p w14:paraId="348DDCCB" w14:textId="47BDD675"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1,920</w:t>
            </w:r>
          </w:p>
        </w:tc>
        <w:tc>
          <w:tcPr>
            <w:tcW w:w="1083" w:type="dxa"/>
          </w:tcPr>
          <w:p w14:paraId="415C1DE1"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r>
      <w:tr w:rsidR="00EC3CC9" w:rsidRPr="00EC3CC9" w14:paraId="7D054879" w14:textId="77777777" w:rsidTr="00EC3CC9">
        <w:tc>
          <w:tcPr>
            <w:tcW w:w="6799" w:type="dxa"/>
          </w:tcPr>
          <w:p w14:paraId="5A667067" w14:textId="1E850E7F"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r w:rsidRPr="00EC3CC9">
              <w:t xml:space="preserve">         2.5% Del Credere Commission (2.5% x RM 19,200)</w:t>
            </w:r>
          </w:p>
        </w:tc>
        <w:tc>
          <w:tcPr>
            <w:tcW w:w="1134" w:type="dxa"/>
            <w:tcBorders>
              <w:bottom w:val="single" w:sz="4" w:space="0" w:color="auto"/>
            </w:tcBorders>
          </w:tcPr>
          <w:p w14:paraId="26F2FE34" w14:textId="428694FD"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480</w:t>
            </w:r>
          </w:p>
        </w:tc>
        <w:tc>
          <w:tcPr>
            <w:tcW w:w="1083" w:type="dxa"/>
            <w:tcBorders>
              <w:bottom w:val="single" w:sz="4" w:space="0" w:color="auto"/>
            </w:tcBorders>
          </w:tcPr>
          <w:p w14:paraId="530EE21D" w14:textId="0C628AA5"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3,100</w:t>
            </w:r>
          </w:p>
        </w:tc>
      </w:tr>
      <w:tr w:rsidR="00EC3CC9" w:rsidRPr="00EC3CC9" w14:paraId="13435DAB" w14:textId="77777777" w:rsidTr="00EC3CC9">
        <w:tc>
          <w:tcPr>
            <w:tcW w:w="6799" w:type="dxa"/>
          </w:tcPr>
          <w:p w14:paraId="4EBA5745" w14:textId="543D4C07" w:rsidR="00EC3CC9" w:rsidRPr="00EC3CC9" w:rsidRDefault="00EC3CC9" w:rsidP="00EC3CC9">
            <w:pPr>
              <w:tabs>
                <w:tab w:val="center" w:pos="3295"/>
                <w:tab w:val="center" w:pos="7688"/>
                <w:tab w:val="center" w:pos="8241"/>
                <w:tab w:val="center" w:pos="9232"/>
              </w:tabs>
              <w:spacing w:after="30"/>
              <w:ind w:left="0" w:firstLine="0"/>
              <w:jc w:val="left"/>
              <w:rPr>
                <w:rFonts w:eastAsia="Calibri"/>
                <w:sz w:val="22"/>
              </w:rPr>
            </w:pPr>
          </w:p>
        </w:tc>
        <w:tc>
          <w:tcPr>
            <w:tcW w:w="1134" w:type="dxa"/>
            <w:tcBorders>
              <w:top w:val="single" w:sz="4" w:space="0" w:color="auto"/>
            </w:tcBorders>
          </w:tcPr>
          <w:p w14:paraId="5DB2E215" w14:textId="7777777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p>
        </w:tc>
        <w:tc>
          <w:tcPr>
            <w:tcW w:w="1083" w:type="dxa"/>
            <w:tcBorders>
              <w:top w:val="single" w:sz="4" w:space="0" w:color="auto"/>
              <w:bottom w:val="double" w:sz="4" w:space="0" w:color="auto"/>
            </w:tcBorders>
          </w:tcPr>
          <w:p w14:paraId="32982EAC" w14:textId="697895D7" w:rsidR="00EC3CC9" w:rsidRPr="00EC3CC9" w:rsidRDefault="00EC3CC9" w:rsidP="00EC3CC9">
            <w:pPr>
              <w:tabs>
                <w:tab w:val="center" w:pos="3295"/>
                <w:tab w:val="center" w:pos="7688"/>
                <w:tab w:val="center" w:pos="8241"/>
                <w:tab w:val="center" w:pos="9232"/>
              </w:tabs>
              <w:spacing w:after="30"/>
              <w:ind w:left="0" w:firstLine="0"/>
              <w:jc w:val="right"/>
              <w:rPr>
                <w:rFonts w:eastAsia="Calibri"/>
                <w:sz w:val="22"/>
              </w:rPr>
            </w:pPr>
            <w:r>
              <w:rPr>
                <w:rFonts w:eastAsia="Calibri"/>
                <w:sz w:val="22"/>
              </w:rPr>
              <w:t>16,100</w:t>
            </w:r>
          </w:p>
        </w:tc>
      </w:tr>
    </w:tbl>
    <w:p w14:paraId="4A581DEC" w14:textId="77777777" w:rsidR="002D37F5" w:rsidRPr="00EC3CC9" w:rsidRDefault="002D37F5" w:rsidP="002D37F5">
      <w:pPr>
        <w:tabs>
          <w:tab w:val="center" w:pos="3295"/>
          <w:tab w:val="center" w:pos="7688"/>
          <w:tab w:val="center" w:pos="8241"/>
          <w:tab w:val="center" w:pos="9232"/>
        </w:tabs>
        <w:spacing w:after="30"/>
        <w:ind w:left="0" w:firstLine="0"/>
        <w:jc w:val="left"/>
      </w:pPr>
      <w:r w:rsidRPr="00EC3CC9">
        <w:rPr>
          <w:rFonts w:eastAsia="Calibri"/>
          <w:sz w:val="22"/>
        </w:rPr>
        <w:tab/>
      </w:r>
      <w:r w:rsidRPr="00EC3CC9">
        <w:t xml:space="preserve">          </w:t>
      </w:r>
    </w:p>
    <w:p w14:paraId="54FECAC6" w14:textId="717255F2" w:rsidR="002D37F5" w:rsidRPr="00EC3CC9" w:rsidRDefault="002D37F5" w:rsidP="002D37F5">
      <w:pPr>
        <w:tabs>
          <w:tab w:val="center" w:pos="3295"/>
          <w:tab w:val="center" w:pos="7688"/>
          <w:tab w:val="center" w:pos="8241"/>
          <w:tab w:val="center" w:pos="9232"/>
        </w:tabs>
        <w:spacing w:after="30"/>
        <w:ind w:left="0" w:firstLine="0"/>
        <w:jc w:val="left"/>
      </w:pPr>
      <w:r w:rsidRPr="00EC3CC9">
        <w:t>On 31 December 2021, in part settlement of the amount due, KK Trading accepted a Bill of Exchange for RM 9,000 drawn on them by Summer Ltd and the balance due was paid by cheque. On the same date, the bill was discounted by consignor at a charge of RM 190. The discounting charge was to be set off against the profit on consignment.</w:t>
      </w:r>
      <w:r w:rsidRPr="00EC3CC9">
        <w:rPr>
          <w:sz w:val="20"/>
        </w:rPr>
        <w:t xml:space="preserve"> </w:t>
      </w:r>
    </w:p>
    <w:p w14:paraId="4DB5E106" w14:textId="77777777" w:rsidR="002D37F5" w:rsidRPr="00EC3CC9" w:rsidRDefault="002D37F5" w:rsidP="002D37F5">
      <w:pPr>
        <w:spacing w:after="17" w:line="259" w:lineRule="auto"/>
        <w:ind w:left="792" w:firstLine="0"/>
        <w:jc w:val="left"/>
      </w:pPr>
      <w:r w:rsidRPr="00EC3CC9">
        <w:rPr>
          <w:sz w:val="20"/>
        </w:rPr>
        <w:t xml:space="preserve"> </w:t>
      </w:r>
    </w:p>
    <w:p w14:paraId="13828168" w14:textId="77777777" w:rsidR="005114B2" w:rsidRDefault="002D37F5" w:rsidP="005114B2">
      <w:pPr>
        <w:ind w:left="0" w:right="382" w:firstLine="0"/>
      </w:pPr>
      <w:r w:rsidRPr="00EC3CC9">
        <w:t xml:space="preserve">KK Trading received RM 15,600 from the consignment accounts receivable on 31 December 2021, and wrote off one bad debt of RM 3,600 as irrecoverable.  </w:t>
      </w:r>
    </w:p>
    <w:p w14:paraId="13EFA0BC" w14:textId="77777777" w:rsidR="005114B2" w:rsidRDefault="005114B2" w:rsidP="005114B2">
      <w:pPr>
        <w:ind w:left="0" w:right="382" w:firstLine="0"/>
      </w:pPr>
    </w:p>
    <w:p w14:paraId="12577834" w14:textId="10AB3A7E" w:rsidR="002D37F5" w:rsidRPr="00EC3CC9" w:rsidRDefault="002D37F5" w:rsidP="005114B2">
      <w:pPr>
        <w:ind w:left="0" w:right="382" w:firstLine="0"/>
      </w:pPr>
      <w:r w:rsidRPr="00EC3CC9">
        <w:t>Prepare the following accounts on 31 December 2021:</w:t>
      </w:r>
      <w:r w:rsidRPr="00EC3CC9">
        <w:rPr>
          <w:sz w:val="20"/>
        </w:rPr>
        <w:t xml:space="preserve"> </w:t>
      </w:r>
    </w:p>
    <w:p w14:paraId="40AB1252" w14:textId="77777777" w:rsidR="002D37F5" w:rsidRPr="00EC3CC9" w:rsidRDefault="002D37F5" w:rsidP="005114B2">
      <w:pPr>
        <w:numPr>
          <w:ilvl w:val="0"/>
          <w:numId w:val="1"/>
        </w:numPr>
        <w:ind w:left="497" w:right="382" w:hanging="497"/>
      </w:pPr>
      <w:r w:rsidRPr="00EC3CC9">
        <w:t xml:space="preserve">In the Ledger of Summer Limited (Consignor) </w:t>
      </w:r>
    </w:p>
    <w:p w14:paraId="7DEAACCD" w14:textId="473BB6B2" w:rsidR="002D37F5" w:rsidRPr="00EC3CC9" w:rsidRDefault="002D37F5" w:rsidP="005114B2">
      <w:pPr>
        <w:numPr>
          <w:ilvl w:val="1"/>
          <w:numId w:val="1"/>
        </w:numPr>
        <w:ind w:left="1134" w:right="382" w:hanging="577"/>
      </w:pPr>
      <w:r w:rsidRPr="00EC3CC9">
        <w:t xml:space="preserve">Consignment;   </w:t>
      </w:r>
    </w:p>
    <w:p w14:paraId="2EF42C96" w14:textId="19560934" w:rsidR="002D37F5" w:rsidRPr="00EC3CC9" w:rsidRDefault="002D37F5" w:rsidP="005114B2">
      <w:pPr>
        <w:numPr>
          <w:ilvl w:val="1"/>
          <w:numId w:val="1"/>
        </w:numPr>
        <w:ind w:left="1134" w:right="382" w:hanging="577"/>
      </w:pPr>
      <w:r w:rsidRPr="00EC3CC9">
        <w:t xml:space="preserve">Consignee – KK Trading; and </w:t>
      </w:r>
    </w:p>
    <w:p w14:paraId="2ECDD32D" w14:textId="77777777" w:rsidR="005114B2" w:rsidRDefault="002D37F5" w:rsidP="005114B2">
      <w:pPr>
        <w:numPr>
          <w:ilvl w:val="1"/>
          <w:numId w:val="1"/>
        </w:numPr>
        <w:ind w:left="1134" w:right="382" w:hanging="577"/>
      </w:pPr>
      <w:r w:rsidRPr="00EC3CC9">
        <w:t>Bill Receivable</w:t>
      </w:r>
    </w:p>
    <w:p w14:paraId="26D6D563" w14:textId="2BC139A9" w:rsidR="002D37F5" w:rsidRPr="00EC3CC9" w:rsidRDefault="002D37F5" w:rsidP="005114B2">
      <w:pPr>
        <w:ind w:left="1134" w:right="382" w:firstLine="0"/>
      </w:pPr>
      <w:r w:rsidRPr="00EC3CC9">
        <w:tab/>
        <w:t xml:space="preserve"> </w:t>
      </w:r>
      <w:r w:rsidRPr="00EC3CC9">
        <w:tab/>
        <w:t xml:space="preserve"> </w:t>
      </w:r>
      <w:r w:rsidRPr="00EC3CC9">
        <w:tab/>
        <w:t xml:space="preserve"> </w:t>
      </w:r>
    </w:p>
    <w:p w14:paraId="1AC4FEF9" w14:textId="77777777" w:rsidR="002D37F5" w:rsidRPr="00EC3CC9" w:rsidRDefault="002D37F5" w:rsidP="005114B2">
      <w:pPr>
        <w:numPr>
          <w:ilvl w:val="0"/>
          <w:numId w:val="1"/>
        </w:numPr>
        <w:ind w:left="497" w:right="382" w:hanging="497"/>
      </w:pPr>
      <w:r w:rsidRPr="00EC3CC9">
        <w:t xml:space="preserve">In the Ledger of KK Trading (Consignee) </w:t>
      </w:r>
      <w:r w:rsidRPr="00EC3CC9">
        <w:tab/>
        <w:t xml:space="preserve"> </w:t>
      </w:r>
    </w:p>
    <w:p w14:paraId="12765F4A" w14:textId="57EDEC36" w:rsidR="002D37F5" w:rsidRPr="00EC3CC9" w:rsidRDefault="002D37F5" w:rsidP="005114B2">
      <w:pPr>
        <w:numPr>
          <w:ilvl w:val="1"/>
          <w:numId w:val="1"/>
        </w:numPr>
        <w:ind w:left="1134" w:right="382" w:hanging="577"/>
      </w:pPr>
      <w:r w:rsidRPr="00EC3CC9">
        <w:t xml:space="preserve">Consignor – Summer Ltd;  </w:t>
      </w:r>
    </w:p>
    <w:p w14:paraId="623262A3" w14:textId="4455F9D3" w:rsidR="002D37F5" w:rsidRPr="00EC3CC9" w:rsidRDefault="002D37F5" w:rsidP="005114B2">
      <w:pPr>
        <w:numPr>
          <w:ilvl w:val="1"/>
          <w:numId w:val="1"/>
        </w:numPr>
        <w:ind w:left="1134" w:right="382" w:hanging="577"/>
      </w:pPr>
      <w:r w:rsidRPr="00EC3CC9">
        <w:t xml:space="preserve">Commission Received; and  </w:t>
      </w:r>
    </w:p>
    <w:p w14:paraId="5259E544" w14:textId="05B856C9" w:rsidR="008C02CC" w:rsidRDefault="002D37F5" w:rsidP="005114B2">
      <w:pPr>
        <w:numPr>
          <w:ilvl w:val="1"/>
          <w:numId w:val="1"/>
        </w:numPr>
        <w:ind w:left="1134" w:right="382" w:hanging="577"/>
      </w:pPr>
      <w:r w:rsidRPr="00EC3CC9">
        <w:t xml:space="preserve">Consignment Accounts Receivable. </w:t>
      </w:r>
    </w:p>
    <w:p w14:paraId="36A58A3B" w14:textId="77777777" w:rsidR="005114B2" w:rsidRDefault="005114B2" w:rsidP="005114B2">
      <w:pPr>
        <w:ind w:left="1134" w:right="382" w:firstLine="0"/>
      </w:pPr>
    </w:p>
    <w:p w14:paraId="16808DE1" w14:textId="22A37336" w:rsidR="005114B2" w:rsidRPr="00EC3CC9" w:rsidRDefault="005114B2" w:rsidP="005114B2">
      <w:pPr>
        <w:numPr>
          <w:ilvl w:val="0"/>
          <w:numId w:val="1"/>
        </w:numPr>
        <w:ind w:left="497" w:right="382" w:hanging="497"/>
      </w:pPr>
      <w:r>
        <w:t>Define the term “Del Credere Commission”.</w:t>
      </w:r>
    </w:p>
    <w:sectPr w:rsidR="005114B2" w:rsidRPr="00EC3CC9" w:rsidSect="00C91C7A">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A1351"/>
    <w:multiLevelType w:val="hybridMultilevel"/>
    <w:tmpl w:val="7F9615B4"/>
    <w:lvl w:ilvl="0" w:tplc="1156525E">
      <w:start w:val="1"/>
      <w:numFmt w:val="lowerLetter"/>
      <w:lvlText w:val="(%1)"/>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32049E">
      <w:start w:val="1"/>
      <w:numFmt w:val="lowerRoman"/>
      <w:lvlText w:val="(%2)"/>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DA760E">
      <w:start w:val="1"/>
      <w:numFmt w:val="lowerRoman"/>
      <w:lvlText w:val="%3"/>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C57BA">
      <w:start w:val="1"/>
      <w:numFmt w:val="decimal"/>
      <w:lvlText w:val="%4"/>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82E58">
      <w:start w:val="1"/>
      <w:numFmt w:val="lowerLetter"/>
      <w:lvlText w:val="%5"/>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63F40">
      <w:start w:val="1"/>
      <w:numFmt w:val="lowerRoman"/>
      <w:lvlText w:val="%6"/>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C9742">
      <w:start w:val="1"/>
      <w:numFmt w:val="decimal"/>
      <w:lvlText w:val="%7"/>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4484BA">
      <w:start w:val="1"/>
      <w:numFmt w:val="lowerLetter"/>
      <w:lvlText w:val="%8"/>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01916">
      <w:start w:val="1"/>
      <w:numFmt w:val="lowerRoman"/>
      <w:lvlText w:val="%9"/>
      <w:lvlJc w:val="left"/>
      <w:pPr>
        <w:ind w:left="6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179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F5"/>
    <w:rsid w:val="00140178"/>
    <w:rsid w:val="002D37F5"/>
    <w:rsid w:val="005114B2"/>
    <w:rsid w:val="008C02CC"/>
    <w:rsid w:val="00A921C9"/>
    <w:rsid w:val="00C91C7A"/>
    <w:rsid w:val="00EB11FA"/>
    <w:rsid w:val="00EB491B"/>
    <w:rsid w:val="00EC3CC9"/>
    <w:rsid w:val="00FF39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350598"/>
  <w15:chartTrackingRefBased/>
  <w15:docId w15:val="{DCA8DE52-7BF8-B34C-B91D-0FE05F09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F5"/>
    <w:pPr>
      <w:spacing w:after="7" w:line="248" w:lineRule="auto"/>
      <w:ind w:left="84" w:firstLine="2"/>
      <w:jc w:val="both"/>
    </w:pPr>
    <w:rPr>
      <w:rFonts w:ascii="Times New Roman" w:eastAsia="Times New Roman" w:hAnsi="Times New Roman" w:cs="Times New Roman"/>
      <w:color w:val="000000"/>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D37F5"/>
    <w:tblPr>
      <w:tblCellMar>
        <w:top w:w="0" w:type="dxa"/>
        <w:left w:w="0" w:type="dxa"/>
        <w:bottom w:w="0" w:type="dxa"/>
        <w:right w:w="0" w:type="dxa"/>
      </w:tblCellMar>
    </w:tblPr>
  </w:style>
  <w:style w:type="paragraph" w:styleId="ListParagraph">
    <w:name w:val="List Paragraph"/>
    <w:basedOn w:val="Normal"/>
    <w:uiPriority w:val="34"/>
    <w:qFormat/>
    <w:rsid w:val="002D37F5"/>
    <w:pPr>
      <w:ind w:left="720"/>
      <w:contextualSpacing/>
    </w:pPr>
  </w:style>
  <w:style w:type="table" w:styleId="TableGrid0">
    <w:name w:val="Table Grid"/>
    <w:basedOn w:val="TableNormal"/>
    <w:uiPriority w:val="39"/>
    <w:rsid w:val="00EC3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2023-04-26T01:12:00Z</dcterms:created>
  <dcterms:modified xsi:type="dcterms:W3CDTF">2023-04-26T01:30:00Z</dcterms:modified>
</cp:coreProperties>
</file>