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E1DF4" w14:textId="7A770A61" w:rsidR="00564763" w:rsidRPr="00564763" w:rsidRDefault="00564763" w:rsidP="00564763">
      <w:pPr>
        <w:spacing w:after="268" w:line="276" w:lineRule="auto"/>
        <w:ind w:right="50"/>
        <w:rPr>
          <w:rFonts w:ascii="Times New Roman" w:hAnsi="Times New Roman" w:cs="Times New Roman"/>
          <w:b/>
          <w:bCs/>
          <w:lang w:val="en-US"/>
        </w:rPr>
      </w:pPr>
      <w:r w:rsidRPr="00D8323D">
        <w:rPr>
          <w:rFonts w:ascii="Times New Roman" w:hAnsi="Times New Roman" w:cs="Times New Roman"/>
          <w:b/>
          <w:bCs/>
        </w:rPr>
        <w:t xml:space="preserve">2022 </w:t>
      </w:r>
      <w:r>
        <w:rPr>
          <w:rFonts w:ascii="Times New Roman" w:hAnsi="Times New Roman" w:cs="Times New Roman"/>
          <w:b/>
          <w:bCs/>
        </w:rPr>
        <w:t>Chung Ling (Private) High School</w:t>
      </w:r>
      <w:r w:rsidRPr="00D8323D">
        <w:rPr>
          <w:rFonts w:ascii="Times New Roman" w:hAnsi="Times New Roman" w:cs="Times New Roman"/>
          <w:b/>
          <w:bCs/>
          <w:lang w:val="en-US"/>
        </w:rPr>
        <w:t xml:space="preserve"> Paper 2 Question </w:t>
      </w:r>
      <w:r>
        <w:rPr>
          <w:rFonts w:ascii="Times New Roman" w:hAnsi="Times New Roman" w:cs="Times New Roman"/>
          <w:b/>
          <w:bCs/>
          <w:lang w:val="en-US"/>
        </w:rPr>
        <w:t>3</w:t>
      </w:r>
    </w:p>
    <w:p w14:paraId="2746CE57" w14:textId="77BE292A" w:rsidR="00E04072" w:rsidRPr="00E04072" w:rsidRDefault="00E04072" w:rsidP="00A745C4">
      <w:pPr>
        <w:pStyle w:val="NormalWeb"/>
        <w:spacing w:line="276" w:lineRule="auto"/>
        <w:jc w:val="both"/>
      </w:pPr>
      <w:r w:rsidRPr="00E04072">
        <w:t xml:space="preserve">Yi Jing Ltd was incorporated on 1 January 2019 and has an authorised capital of 500,000 Ordinary Shares of RM1.20 each. The issued share capital as at 31 December 2021 was RM300,000 which was issued at par and fully paid. </w:t>
      </w:r>
    </w:p>
    <w:p w14:paraId="69F59970" w14:textId="77777777" w:rsidR="00E04072" w:rsidRPr="00E04072" w:rsidRDefault="00E04072" w:rsidP="00A745C4">
      <w:pPr>
        <w:pStyle w:val="NormalWeb"/>
        <w:spacing w:line="276" w:lineRule="auto"/>
        <w:jc w:val="both"/>
      </w:pPr>
      <w:r w:rsidRPr="00E04072">
        <w:t xml:space="preserve">On 1 April 2022, the company decided to issue a further 150,000 ordinary shares at a price of RM1.50 per share, payable as follow: </w:t>
      </w:r>
    </w:p>
    <w:tbl>
      <w:tblPr>
        <w:tblStyle w:val="TableGrid"/>
        <w:tblW w:w="0" w:type="auto"/>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3686"/>
        <w:gridCol w:w="2693"/>
      </w:tblGrid>
      <w:tr w:rsidR="00E04072" w:rsidRPr="00E04072" w14:paraId="0B51C09D" w14:textId="77777777" w:rsidTr="00E04072">
        <w:tc>
          <w:tcPr>
            <w:tcW w:w="992" w:type="dxa"/>
          </w:tcPr>
          <w:p w14:paraId="6E23B5DF" w14:textId="43049797" w:rsidR="00E04072" w:rsidRPr="00E04072" w:rsidRDefault="00E04072" w:rsidP="00A745C4">
            <w:pPr>
              <w:spacing w:line="276" w:lineRule="auto"/>
              <w:rPr>
                <w:rFonts w:ascii="Times New Roman" w:hAnsi="Times New Roman" w:cs="Times New Roman"/>
              </w:rPr>
            </w:pPr>
          </w:p>
        </w:tc>
        <w:tc>
          <w:tcPr>
            <w:tcW w:w="3686" w:type="dxa"/>
          </w:tcPr>
          <w:p w14:paraId="6B052F22" w14:textId="77777777" w:rsidR="00E04072" w:rsidRPr="00E04072" w:rsidRDefault="00E04072" w:rsidP="00A745C4">
            <w:pPr>
              <w:spacing w:line="276" w:lineRule="auto"/>
              <w:rPr>
                <w:rFonts w:ascii="Times New Roman" w:hAnsi="Times New Roman" w:cs="Times New Roman"/>
              </w:rPr>
            </w:pPr>
          </w:p>
        </w:tc>
        <w:tc>
          <w:tcPr>
            <w:tcW w:w="2693" w:type="dxa"/>
          </w:tcPr>
          <w:p w14:paraId="40EE26C2" w14:textId="0313B52F" w:rsidR="00E04072" w:rsidRPr="00E04072" w:rsidRDefault="00E04072" w:rsidP="00A745C4">
            <w:pPr>
              <w:spacing w:line="276" w:lineRule="auto"/>
              <w:jc w:val="center"/>
              <w:rPr>
                <w:rFonts w:ascii="Times New Roman" w:hAnsi="Times New Roman" w:cs="Times New Roman"/>
                <w:b/>
                <w:bCs/>
                <w:u w:val="single"/>
              </w:rPr>
            </w:pPr>
            <w:r w:rsidRPr="00E04072">
              <w:rPr>
                <w:rFonts w:ascii="Times New Roman" w:hAnsi="Times New Roman" w:cs="Times New Roman"/>
                <w:b/>
                <w:bCs/>
                <w:u w:val="single"/>
              </w:rPr>
              <w:t>Per cent on issued price</w:t>
            </w:r>
          </w:p>
        </w:tc>
      </w:tr>
      <w:tr w:rsidR="00E04072" w:rsidRPr="00E04072" w14:paraId="776AACD2" w14:textId="77777777" w:rsidTr="00E04072">
        <w:tc>
          <w:tcPr>
            <w:tcW w:w="992" w:type="dxa"/>
          </w:tcPr>
          <w:p w14:paraId="5A56FC3C" w14:textId="074F058B" w:rsidR="00E04072" w:rsidRPr="00E04072" w:rsidRDefault="00E04072" w:rsidP="00A745C4">
            <w:pPr>
              <w:spacing w:line="276" w:lineRule="auto"/>
              <w:rPr>
                <w:rFonts w:ascii="Times New Roman" w:hAnsi="Times New Roman" w:cs="Times New Roman"/>
              </w:rPr>
            </w:pPr>
            <w:r w:rsidRPr="00E04072">
              <w:rPr>
                <w:rFonts w:ascii="Times New Roman" w:hAnsi="Times New Roman" w:cs="Times New Roman"/>
              </w:rPr>
              <w:t>April 1</w:t>
            </w:r>
          </w:p>
        </w:tc>
        <w:tc>
          <w:tcPr>
            <w:tcW w:w="3686" w:type="dxa"/>
          </w:tcPr>
          <w:p w14:paraId="56176249" w14:textId="67CEB8BA" w:rsidR="00E04072" w:rsidRPr="00E04072" w:rsidRDefault="00E04072" w:rsidP="00A745C4">
            <w:pPr>
              <w:spacing w:line="276" w:lineRule="auto"/>
              <w:rPr>
                <w:rFonts w:ascii="Times New Roman" w:hAnsi="Times New Roman" w:cs="Times New Roman"/>
              </w:rPr>
            </w:pPr>
            <w:r w:rsidRPr="00E04072">
              <w:rPr>
                <w:rFonts w:ascii="Times New Roman" w:hAnsi="Times New Roman" w:cs="Times New Roman"/>
              </w:rPr>
              <w:t>Application</w:t>
            </w:r>
          </w:p>
        </w:tc>
        <w:tc>
          <w:tcPr>
            <w:tcW w:w="2693" w:type="dxa"/>
          </w:tcPr>
          <w:p w14:paraId="5A227837" w14:textId="125C95C0" w:rsidR="00E04072" w:rsidRPr="00E04072" w:rsidRDefault="00E04072" w:rsidP="00A745C4">
            <w:pPr>
              <w:spacing w:line="276" w:lineRule="auto"/>
              <w:jc w:val="center"/>
              <w:rPr>
                <w:rFonts w:ascii="Times New Roman" w:hAnsi="Times New Roman" w:cs="Times New Roman"/>
              </w:rPr>
            </w:pPr>
            <w:r w:rsidRPr="00E04072">
              <w:rPr>
                <w:rFonts w:ascii="Times New Roman" w:hAnsi="Times New Roman" w:cs="Times New Roman"/>
              </w:rPr>
              <w:t>10%</w:t>
            </w:r>
          </w:p>
        </w:tc>
      </w:tr>
      <w:tr w:rsidR="00E04072" w:rsidRPr="00E04072" w14:paraId="71D68429" w14:textId="77777777" w:rsidTr="00E04072">
        <w:tc>
          <w:tcPr>
            <w:tcW w:w="992" w:type="dxa"/>
          </w:tcPr>
          <w:p w14:paraId="5274E222" w14:textId="7D9449C2" w:rsidR="00E04072" w:rsidRPr="00E04072" w:rsidRDefault="00E04072" w:rsidP="00A745C4">
            <w:pPr>
              <w:spacing w:line="276" w:lineRule="auto"/>
              <w:rPr>
                <w:rFonts w:ascii="Times New Roman" w:hAnsi="Times New Roman" w:cs="Times New Roman"/>
              </w:rPr>
            </w:pPr>
            <w:r w:rsidRPr="00E04072">
              <w:rPr>
                <w:rFonts w:ascii="Times New Roman" w:hAnsi="Times New Roman" w:cs="Times New Roman"/>
              </w:rPr>
              <w:t>May 1</w:t>
            </w:r>
          </w:p>
        </w:tc>
        <w:tc>
          <w:tcPr>
            <w:tcW w:w="3686" w:type="dxa"/>
          </w:tcPr>
          <w:p w14:paraId="69141747" w14:textId="6EBF3AAC" w:rsidR="00E04072" w:rsidRPr="00E04072" w:rsidRDefault="00E04072" w:rsidP="00A745C4">
            <w:pPr>
              <w:spacing w:line="276" w:lineRule="auto"/>
              <w:rPr>
                <w:rFonts w:ascii="Times New Roman" w:hAnsi="Times New Roman" w:cs="Times New Roman"/>
              </w:rPr>
            </w:pPr>
            <w:r w:rsidRPr="00E04072">
              <w:rPr>
                <w:rFonts w:ascii="Times New Roman" w:hAnsi="Times New Roman" w:cs="Times New Roman"/>
              </w:rPr>
              <w:t>Allotment (including premium)</w:t>
            </w:r>
          </w:p>
        </w:tc>
        <w:tc>
          <w:tcPr>
            <w:tcW w:w="2693" w:type="dxa"/>
          </w:tcPr>
          <w:p w14:paraId="42CDF255" w14:textId="1A6E0462" w:rsidR="00E04072" w:rsidRPr="00E04072" w:rsidRDefault="00E04072" w:rsidP="00A745C4">
            <w:pPr>
              <w:spacing w:line="276" w:lineRule="auto"/>
              <w:jc w:val="center"/>
              <w:rPr>
                <w:rFonts w:ascii="Times New Roman" w:hAnsi="Times New Roman" w:cs="Times New Roman"/>
              </w:rPr>
            </w:pPr>
            <w:r w:rsidRPr="00E04072">
              <w:rPr>
                <w:rFonts w:ascii="Times New Roman" w:hAnsi="Times New Roman" w:cs="Times New Roman"/>
              </w:rPr>
              <w:t>30%</w:t>
            </w:r>
          </w:p>
        </w:tc>
      </w:tr>
      <w:tr w:rsidR="00E04072" w:rsidRPr="00E04072" w14:paraId="42241FE4" w14:textId="77777777" w:rsidTr="00E04072">
        <w:tc>
          <w:tcPr>
            <w:tcW w:w="992" w:type="dxa"/>
          </w:tcPr>
          <w:p w14:paraId="4D991E91" w14:textId="3CDE9462" w:rsidR="00E04072" w:rsidRPr="00E04072" w:rsidRDefault="00E04072" w:rsidP="00A745C4">
            <w:pPr>
              <w:spacing w:line="276" w:lineRule="auto"/>
              <w:rPr>
                <w:rFonts w:ascii="Times New Roman" w:hAnsi="Times New Roman" w:cs="Times New Roman"/>
              </w:rPr>
            </w:pPr>
            <w:r w:rsidRPr="00E04072">
              <w:rPr>
                <w:rFonts w:ascii="Times New Roman" w:hAnsi="Times New Roman" w:cs="Times New Roman"/>
              </w:rPr>
              <w:t>June 1</w:t>
            </w:r>
          </w:p>
        </w:tc>
        <w:tc>
          <w:tcPr>
            <w:tcW w:w="3686" w:type="dxa"/>
          </w:tcPr>
          <w:p w14:paraId="06367C51" w14:textId="6E74E406" w:rsidR="00E04072" w:rsidRPr="00E04072" w:rsidRDefault="00E04072" w:rsidP="00A745C4">
            <w:pPr>
              <w:spacing w:line="276" w:lineRule="auto"/>
              <w:rPr>
                <w:rFonts w:ascii="Times New Roman" w:hAnsi="Times New Roman" w:cs="Times New Roman"/>
              </w:rPr>
            </w:pPr>
            <w:r w:rsidRPr="00E04072">
              <w:rPr>
                <w:rFonts w:ascii="Times New Roman" w:hAnsi="Times New Roman" w:cs="Times New Roman"/>
              </w:rPr>
              <w:t>First Call</w:t>
            </w:r>
          </w:p>
        </w:tc>
        <w:tc>
          <w:tcPr>
            <w:tcW w:w="2693" w:type="dxa"/>
          </w:tcPr>
          <w:p w14:paraId="734BE885" w14:textId="6D1DA062" w:rsidR="00E04072" w:rsidRPr="00E04072" w:rsidRDefault="00E04072" w:rsidP="00A745C4">
            <w:pPr>
              <w:spacing w:line="276" w:lineRule="auto"/>
              <w:jc w:val="center"/>
              <w:rPr>
                <w:rFonts w:ascii="Times New Roman" w:hAnsi="Times New Roman" w:cs="Times New Roman"/>
              </w:rPr>
            </w:pPr>
            <w:r w:rsidRPr="00E04072">
              <w:rPr>
                <w:rFonts w:ascii="Times New Roman" w:hAnsi="Times New Roman" w:cs="Times New Roman"/>
              </w:rPr>
              <w:t>40%</w:t>
            </w:r>
          </w:p>
        </w:tc>
      </w:tr>
      <w:tr w:rsidR="00E04072" w:rsidRPr="00E04072" w14:paraId="6E82930B" w14:textId="77777777" w:rsidTr="00E04072">
        <w:tc>
          <w:tcPr>
            <w:tcW w:w="992" w:type="dxa"/>
          </w:tcPr>
          <w:p w14:paraId="7EE8451E" w14:textId="41EF45A6" w:rsidR="00E04072" w:rsidRPr="00E04072" w:rsidRDefault="00E04072" w:rsidP="00A745C4">
            <w:pPr>
              <w:spacing w:line="276" w:lineRule="auto"/>
              <w:rPr>
                <w:rFonts w:ascii="Times New Roman" w:hAnsi="Times New Roman" w:cs="Times New Roman"/>
              </w:rPr>
            </w:pPr>
            <w:r w:rsidRPr="00E04072">
              <w:rPr>
                <w:rFonts w:ascii="Times New Roman" w:hAnsi="Times New Roman" w:cs="Times New Roman"/>
              </w:rPr>
              <w:t>July 1</w:t>
            </w:r>
          </w:p>
        </w:tc>
        <w:tc>
          <w:tcPr>
            <w:tcW w:w="3686" w:type="dxa"/>
          </w:tcPr>
          <w:p w14:paraId="2FB08131" w14:textId="6A055A05" w:rsidR="00E04072" w:rsidRPr="00E04072" w:rsidRDefault="00E04072" w:rsidP="00A745C4">
            <w:pPr>
              <w:spacing w:line="276" w:lineRule="auto"/>
              <w:rPr>
                <w:rFonts w:ascii="Times New Roman" w:hAnsi="Times New Roman" w:cs="Times New Roman"/>
              </w:rPr>
            </w:pPr>
            <w:r w:rsidRPr="00E04072">
              <w:rPr>
                <w:rFonts w:ascii="Times New Roman" w:hAnsi="Times New Roman" w:cs="Times New Roman"/>
              </w:rPr>
              <w:t>balance on Second and Final Call</w:t>
            </w:r>
          </w:p>
        </w:tc>
        <w:tc>
          <w:tcPr>
            <w:tcW w:w="2693" w:type="dxa"/>
          </w:tcPr>
          <w:p w14:paraId="215900DB" w14:textId="77777777" w:rsidR="00E04072" w:rsidRPr="00E04072" w:rsidRDefault="00E04072" w:rsidP="00A745C4">
            <w:pPr>
              <w:spacing w:line="276" w:lineRule="auto"/>
              <w:rPr>
                <w:rFonts w:ascii="Times New Roman" w:hAnsi="Times New Roman" w:cs="Times New Roman"/>
              </w:rPr>
            </w:pPr>
          </w:p>
        </w:tc>
      </w:tr>
    </w:tbl>
    <w:p w14:paraId="3863E142" w14:textId="77777777" w:rsidR="008C02CC" w:rsidRDefault="008C02CC" w:rsidP="00A745C4">
      <w:pPr>
        <w:spacing w:line="276" w:lineRule="auto"/>
        <w:rPr>
          <w:rFonts w:ascii="Times New Roman" w:hAnsi="Times New Roman" w:cs="Times New Roman"/>
        </w:rPr>
      </w:pPr>
    </w:p>
    <w:p w14:paraId="5B19CBE5" w14:textId="6D57261A" w:rsidR="00E04072" w:rsidRDefault="00E04072" w:rsidP="00A745C4">
      <w:pPr>
        <w:spacing w:line="276" w:lineRule="auto"/>
        <w:jc w:val="both"/>
        <w:rPr>
          <w:rFonts w:ascii="Times New Roman" w:hAnsi="Times New Roman" w:cs="Times New Roman"/>
        </w:rPr>
      </w:pPr>
      <w:r w:rsidRPr="00E04072">
        <w:rPr>
          <w:rFonts w:ascii="Times New Roman" w:hAnsi="Times New Roman" w:cs="Times New Roman"/>
        </w:rPr>
        <w:t>Applications are received for 300,000 shares. RM15,000 returned to unsuccessful applicants at the allotment date.</w:t>
      </w:r>
    </w:p>
    <w:p w14:paraId="77BCD2C8" w14:textId="77777777" w:rsidR="00E04072" w:rsidRDefault="00E04072" w:rsidP="00A745C4">
      <w:pPr>
        <w:spacing w:line="276" w:lineRule="auto"/>
        <w:jc w:val="both"/>
        <w:rPr>
          <w:rFonts w:ascii="Times New Roman" w:hAnsi="Times New Roman" w:cs="Times New Roman"/>
        </w:rPr>
      </w:pPr>
    </w:p>
    <w:p w14:paraId="71038C26" w14:textId="77777777" w:rsidR="00E04072" w:rsidRPr="00E04072" w:rsidRDefault="00E04072" w:rsidP="00A745C4">
      <w:pPr>
        <w:spacing w:line="276" w:lineRule="auto"/>
        <w:jc w:val="both"/>
        <w:rPr>
          <w:rFonts w:ascii="Times New Roman" w:hAnsi="Times New Roman" w:cs="Times New Roman"/>
        </w:rPr>
      </w:pPr>
      <w:r w:rsidRPr="00E04072">
        <w:rPr>
          <w:rFonts w:ascii="Times New Roman" w:hAnsi="Times New Roman" w:cs="Times New Roman"/>
        </w:rPr>
        <w:t>Successful applicants were deal as follow:</w:t>
      </w:r>
    </w:p>
    <w:p w14:paraId="3024773B" w14:textId="2942A78E" w:rsidR="00E04072" w:rsidRPr="00E04072" w:rsidRDefault="00E04072" w:rsidP="00A745C4">
      <w:pPr>
        <w:pStyle w:val="ListParagraph"/>
        <w:numPr>
          <w:ilvl w:val="0"/>
          <w:numId w:val="1"/>
        </w:numPr>
        <w:spacing w:line="276" w:lineRule="auto"/>
        <w:ind w:left="426" w:hanging="142"/>
        <w:jc w:val="both"/>
        <w:rPr>
          <w:rFonts w:ascii="Times New Roman" w:hAnsi="Times New Roman" w:cs="Times New Roman"/>
        </w:rPr>
      </w:pPr>
      <w:r w:rsidRPr="00E04072">
        <w:rPr>
          <w:rFonts w:ascii="Times New Roman" w:hAnsi="Times New Roman" w:cs="Times New Roman"/>
        </w:rPr>
        <w:t>Full allotment for 100,000 applications;</w:t>
      </w:r>
    </w:p>
    <w:p w14:paraId="06C83CAB" w14:textId="77777777" w:rsidR="00E04072" w:rsidRPr="00E04072" w:rsidRDefault="00E04072" w:rsidP="00A745C4">
      <w:pPr>
        <w:pStyle w:val="ListParagraph"/>
        <w:numPr>
          <w:ilvl w:val="0"/>
          <w:numId w:val="1"/>
        </w:numPr>
        <w:spacing w:line="276" w:lineRule="auto"/>
        <w:ind w:left="426" w:hanging="142"/>
        <w:jc w:val="both"/>
        <w:rPr>
          <w:rFonts w:ascii="Times New Roman" w:hAnsi="Times New Roman" w:cs="Times New Roman"/>
        </w:rPr>
      </w:pPr>
      <w:r w:rsidRPr="00E04072">
        <w:rPr>
          <w:rFonts w:ascii="Times New Roman" w:hAnsi="Times New Roman" w:cs="Times New Roman"/>
        </w:rPr>
        <w:t xml:space="preserve">The remaining applications were based on 1 shares for every 2 shares applied for. </w:t>
      </w:r>
    </w:p>
    <w:p w14:paraId="19486883" w14:textId="77777777" w:rsidR="00E04072" w:rsidRPr="00E04072" w:rsidRDefault="00E04072" w:rsidP="00A745C4">
      <w:pPr>
        <w:pStyle w:val="ListParagraph"/>
        <w:numPr>
          <w:ilvl w:val="0"/>
          <w:numId w:val="1"/>
        </w:numPr>
        <w:spacing w:line="276" w:lineRule="auto"/>
        <w:ind w:left="426" w:hanging="142"/>
        <w:jc w:val="both"/>
        <w:rPr>
          <w:rFonts w:ascii="Times New Roman" w:hAnsi="Times New Roman" w:cs="Times New Roman"/>
        </w:rPr>
      </w:pPr>
      <w:r w:rsidRPr="00E04072">
        <w:rPr>
          <w:rFonts w:ascii="Times New Roman" w:hAnsi="Times New Roman" w:cs="Times New Roman"/>
        </w:rPr>
        <w:t xml:space="preserve">The excess application monies are set off against the allotment monies asked for. </w:t>
      </w:r>
    </w:p>
    <w:p w14:paraId="72ED635A" w14:textId="2E8AAE2B" w:rsidR="00E04072" w:rsidRDefault="00E04072" w:rsidP="00A745C4">
      <w:pPr>
        <w:pStyle w:val="ListParagraph"/>
        <w:numPr>
          <w:ilvl w:val="0"/>
          <w:numId w:val="1"/>
        </w:numPr>
        <w:spacing w:line="276" w:lineRule="auto"/>
        <w:ind w:left="426" w:hanging="142"/>
        <w:jc w:val="both"/>
        <w:rPr>
          <w:rFonts w:ascii="Times New Roman" w:hAnsi="Times New Roman" w:cs="Times New Roman"/>
        </w:rPr>
      </w:pPr>
      <w:r w:rsidRPr="00E04072">
        <w:rPr>
          <w:rFonts w:ascii="Times New Roman" w:hAnsi="Times New Roman" w:cs="Times New Roman"/>
        </w:rPr>
        <w:t>The balance of allotment money was received on 15 May 2022.</w:t>
      </w:r>
    </w:p>
    <w:p w14:paraId="1E4B7916" w14:textId="77777777" w:rsidR="00E04072" w:rsidRDefault="00E04072" w:rsidP="00A745C4">
      <w:pPr>
        <w:spacing w:line="276" w:lineRule="auto"/>
        <w:jc w:val="both"/>
        <w:rPr>
          <w:rFonts w:ascii="Times New Roman" w:hAnsi="Times New Roman" w:cs="Times New Roman"/>
        </w:rPr>
      </w:pPr>
    </w:p>
    <w:p w14:paraId="18E6A6FC" w14:textId="45514F98" w:rsidR="00E04072" w:rsidRDefault="00E04072" w:rsidP="00A745C4">
      <w:pPr>
        <w:spacing w:line="276" w:lineRule="auto"/>
        <w:jc w:val="both"/>
        <w:rPr>
          <w:rFonts w:ascii="Times New Roman" w:hAnsi="Times New Roman" w:cs="Times New Roman"/>
        </w:rPr>
      </w:pPr>
      <w:r w:rsidRPr="00E04072">
        <w:rPr>
          <w:rFonts w:ascii="Times New Roman" w:hAnsi="Times New Roman" w:cs="Times New Roman"/>
        </w:rPr>
        <w:t>The remaining requested instalments are all paid in full.</w:t>
      </w:r>
    </w:p>
    <w:p w14:paraId="24644865" w14:textId="77777777" w:rsidR="00E04072" w:rsidRDefault="00E04072" w:rsidP="00A745C4">
      <w:pPr>
        <w:spacing w:line="276" w:lineRule="auto"/>
        <w:jc w:val="both"/>
        <w:rPr>
          <w:rFonts w:ascii="Times New Roman" w:hAnsi="Times New Roman" w:cs="Times New Roman"/>
        </w:rPr>
      </w:pPr>
    </w:p>
    <w:p w14:paraId="59B25B8E" w14:textId="77777777" w:rsidR="00E04072" w:rsidRPr="00537FCE" w:rsidRDefault="00E04072" w:rsidP="00A745C4">
      <w:pPr>
        <w:spacing w:line="276" w:lineRule="auto"/>
        <w:jc w:val="both"/>
        <w:rPr>
          <w:rFonts w:ascii="Times New Roman" w:hAnsi="Times New Roman" w:cs="Times New Roman"/>
          <w:b/>
          <w:bCs/>
        </w:rPr>
      </w:pPr>
      <w:r w:rsidRPr="00537FCE">
        <w:rPr>
          <w:rFonts w:ascii="Times New Roman" w:hAnsi="Times New Roman" w:cs="Times New Roman"/>
          <w:b/>
          <w:bCs/>
        </w:rPr>
        <w:t>You are required to prepare:</w:t>
      </w:r>
    </w:p>
    <w:p w14:paraId="2A6F2E54" w14:textId="5C1ACDFF" w:rsidR="00E04072" w:rsidRPr="009B674C" w:rsidRDefault="00E04072" w:rsidP="00A745C4">
      <w:pPr>
        <w:pStyle w:val="ListParagraph"/>
        <w:numPr>
          <w:ilvl w:val="0"/>
          <w:numId w:val="2"/>
        </w:numPr>
        <w:spacing w:line="276" w:lineRule="auto"/>
        <w:jc w:val="both"/>
        <w:rPr>
          <w:rFonts w:ascii="Times New Roman" w:hAnsi="Times New Roman" w:cs="Times New Roman"/>
        </w:rPr>
      </w:pPr>
      <w:r w:rsidRPr="009B674C">
        <w:rPr>
          <w:rFonts w:ascii="Times New Roman" w:hAnsi="Times New Roman" w:cs="Times New Roman"/>
        </w:rPr>
        <w:t xml:space="preserve">Journal Entries </w:t>
      </w:r>
      <w:r w:rsidRPr="009B674C">
        <w:rPr>
          <w:rFonts w:ascii="Times New Roman" w:hAnsi="Times New Roman" w:cs="Times New Roman"/>
          <w:b/>
          <w:bCs/>
        </w:rPr>
        <w:t>OR</w:t>
      </w:r>
      <w:r w:rsidRPr="009B674C">
        <w:rPr>
          <w:rFonts w:ascii="Times New Roman" w:hAnsi="Times New Roman" w:cs="Times New Roman"/>
        </w:rPr>
        <w:t xml:space="preserve"> Ledger accounts to record the above transactions;</w:t>
      </w:r>
    </w:p>
    <w:p w14:paraId="69CFE9AE" w14:textId="68348D91" w:rsidR="00E04072" w:rsidRPr="009B674C" w:rsidRDefault="00E04072" w:rsidP="00A745C4">
      <w:pPr>
        <w:pStyle w:val="ListParagraph"/>
        <w:numPr>
          <w:ilvl w:val="0"/>
          <w:numId w:val="2"/>
        </w:numPr>
        <w:spacing w:line="276" w:lineRule="auto"/>
        <w:jc w:val="both"/>
        <w:rPr>
          <w:rFonts w:ascii="Times New Roman" w:hAnsi="Times New Roman" w:cs="Times New Roman"/>
        </w:rPr>
      </w:pPr>
      <w:r w:rsidRPr="009B674C">
        <w:rPr>
          <w:rFonts w:ascii="Times New Roman" w:hAnsi="Times New Roman" w:cs="Times New Roman"/>
        </w:rPr>
        <w:t>Statement of Financial Position (Extract) as at 1 July 2022.</w:t>
      </w:r>
    </w:p>
    <w:sectPr w:rsidR="00E04072" w:rsidRPr="009B6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52D4B"/>
    <w:multiLevelType w:val="hybridMultilevel"/>
    <w:tmpl w:val="AF48CB4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BC3D6C"/>
    <w:multiLevelType w:val="hybridMultilevel"/>
    <w:tmpl w:val="4DFC474E"/>
    <w:lvl w:ilvl="0" w:tplc="0809001B">
      <w:start w:val="1"/>
      <w:numFmt w:val="low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07239971">
    <w:abstractNumId w:val="1"/>
  </w:num>
  <w:num w:numId="2" w16cid:durableId="630331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072"/>
    <w:rsid w:val="00140178"/>
    <w:rsid w:val="00537FCE"/>
    <w:rsid w:val="00564763"/>
    <w:rsid w:val="008C02CC"/>
    <w:rsid w:val="009B674C"/>
    <w:rsid w:val="00A745C4"/>
    <w:rsid w:val="00A921C9"/>
    <w:rsid w:val="00E04072"/>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1D229B"/>
  <w15:chartTrackingRefBased/>
  <w15:docId w15:val="{D263010D-68F1-5D4E-9A6A-247D86889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4072"/>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E040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4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742811">
      <w:bodyDiv w:val="1"/>
      <w:marLeft w:val="0"/>
      <w:marRight w:val="0"/>
      <w:marTop w:val="0"/>
      <w:marBottom w:val="0"/>
      <w:divBdr>
        <w:top w:val="none" w:sz="0" w:space="0" w:color="auto"/>
        <w:left w:val="none" w:sz="0" w:space="0" w:color="auto"/>
        <w:bottom w:val="none" w:sz="0" w:space="0" w:color="auto"/>
        <w:right w:val="none" w:sz="0" w:space="0" w:color="auto"/>
      </w:divBdr>
      <w:divsChild>
        <w:div w:id="1567834003">
          <w:marLeft w:val="0"/>
          <w:marRight w:val="0"/>
          <w:marTop w:val="0"/>
          <w:marBottom w:val="0"/>
          <w:divBdr>
            <w:top w:val="none" w:sz="0" w:space="0" w:color="auto"/>
            <w:left w:val="none" w:sz="0" w:space="0" w:color="auto"/>
            <w:bottom w:val="none" w:sz="0" w:space="0" w:color="auto"/>
            <w:right w:val="none" w:sz="0" w:space="0" w:color="auto"/>
          </w:divBdr>
          <w:divsChild>
            <w:div w:id="832836398">
              <w:marLeft w:val="0"/>
              <w:marRight w:val="0"/>
              <w:marTop w:val="0"/>
              <w:marBottom w:val="0"/>
              <w:divBdr>
                <w:top w:val="none" w:sz="0" w:space="0" w:color="auto"/>
                <w:left w:val="none" w:sz="0" w:space="0" w:color="auto"/>
                <w:bottom w:val="none" w:sz="0" w:space="0" w:color="auto"/>
                <w:right w:val="none" w:sz="0" w:space="0" w:color="auto"/>
              </w:divBdr>
              <w:divsChild>
                <w:div w:id="35398316">
                  <w:marLeft w:val="0"/>
                  <w:marRight w:val="0"/>
                  <w:marTop w:val="0"/>
                  <w:marBottom w:val="0"/>
                  <w:divBdr>
                    <w:top w:val="none" w:sz="0" w:space="0" w:color="auto"/>
                    <w:left w:val="none" w:sz="0" w:space="0" w:color="auto"/>
                    <w:bottom w:val="none" w:sz="0" w:space="0" w:color="auto"/>
                    <w:right w:val="none" w:sz="0" w:space="0" w:color="auto"/>
                  </w:divBdr>
                </w:div>
              </w:divsChild>
            </w:div>
            <w:div w:id="100420976">
              <w:marLeft w:val="0"/>
              <w:marRight w:val="0"/>
              <w:marTop w:val="0"/>
              <w:marBottom w:val="0"/>
              <w:divBdr>
                <w:top w:val="none" w:sz="0" w:space="0" w:color="auto"/>
                <w:left w:val="none" w:sz="0" w:space="0" w:color="auto"/>
                <w:bottom w:val="none" w:sz="0" w:space="0" w:color="auto"/>
                <w:right w:val="none" w:sz="0" w:space="0" w:color="auto"/>
              </w:divBdr>
              <w:divsChild>
                <w:div w:id="1620604572">
                  <w:marLeft w:val="0"/>
                  <w:marRight w:val="0"/>
                  <w:marTop w:val="0"/>
                  <w:marBottom w:val="0"/>
                  <w:divBdr>
                    <w:top w:val="none" w:sz="0" w:space="0" w:color="auto"/>
                    <w:left w:val="none" w:sz="0" w:space="0" w:color="auto"/>
                    <w:bottom w:val="none" w:sz="0" w:space="0" w:color="auto"/>
                    <w:right w:val="none" w:sz="0" w:space="0" w:color="auto"/>
                  </w:divBdr>
                </w:div>
                <w:div w:id="197482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425243">
      <w:bodyDiv w:val="1"/>
      <w:marLeft w:val="0"/>
      <w:marRight w:val="0"/>
      <w:marTop w:val="0"/>
      <w:marBottom w:val="0"/>
      <w:divBdr>
        <w:top w:val="none" w:sz="0" w:space="0" w:color="auto"/>
        <w:left w:val="none" w:sz="0" w:space="0" w:color="auto"/>
        <w:bottom w:val="none" w:sz="0" w:space="0" w:color="auto"/>
        <w:right w:val="none" w:sz="0" w:space="0" w:color="auto"/>
      </w:divBdr>
      <w:divsChild>
        <w:div w:id="2020303506">
          <w:marLeft w:val="0"/>
          <w:marRight w:val="0"/>
          <w:marTop w:val="0"/>
          <w:marBottom w:val="0"/>
          <w:divBdr>
            <w:top w:val="none" w:sz="0" w:space="0" w:color="auto"/>
            <w:left w:val="none" w:sz="0" w:space="0" w:color="auto"/>
            <w:bottom w:val="none" w:sz="0" w:space="0" w:color="auto"/>
            <w:right w:val="none" w:sz="0" w:space="0" w:color="auto"/>
          </w:divBdr>
          <w:divsChild>
            <w:div w:id="2003896013">
              <w:marLeft w:val="0"/>
              <w:marRight w:val="0"/>
              <w:marTop w:val="0"/>
              <w:marBottom w:val="0"/>
              <w:divBdr>
                <w:top w:val="none" w:sz="0" w:space="0" w:color="auto"/>
                <w:left w:val="none" w:sz="0" w:space="0" w:color="auto"/>
                <w:bottom w:val="none" w:sz="0" w:space="0" w:color="auto"/>
                <w:right w:val="none" w:sz="0" w:space="0" w:color="auto"/>
              </w:divBdr>
              <w:divsChild>
                <w:div w:id="47926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5447">
      <w:bodyDiv w:val="1"/>
      <w:marLeft w:val="0"/>
      <w:marRight w:val="0"/>
      <w:marTop w:val="0"/>
      <w:marBottom w:val="0"/>
      <w:divBdr>
        <w:top w:val="none" w:sz="0" w:space="0" w:color="auto"/>
        <w:left w:val="none" w:sz="0" w:space="0" w:color="auto"/>
        <w:bottom w:val="none" w:sz="0" w:space="0" w:color="auto"/>
        <w:right w:val="none" w:sz="0" w:space="0" w:color="auto"/>
      </w:divBdr>
      <w:divsChild>
        <w:div w:id="456800266">
          <w:marLeft w:val="0"/>
          <w:marRight w:val="0"/>
          <w:marTop w:val="0"/>
          <w:marBottom w:val="0"/>
          <w:divBdr>
            <w:top w:val="none" w:sz="0" w:space="0" w:color="auto"/>
            <w:left w:val="none" w:sz="0" w:space="0" w:color="auto"/>
            <w:bottom w:val="none" w:sz="0" w:space="0" w:color="auto"/>
            <w:right w:val="none" w:sz="0" w:space="0" w:color="auto"/>
          </w:divBdr>
          <w:divsChild>
            <w:div w:id="1937470533">
              <w:marLeft w:val="0"/>
              <w:marRight w:val="0"/>
              <w:marTop w:val="0"/>
              <w:marBottom w:val="0"/>
              <w:divBdr>
                <w:top w:val="none" w:sz="0" w:space="0" w:color="auto"/>
                <w:left w:val="none" w:sz="0" w:space="0" w:color="auto"/>
                <w:bottom w:val="none" w:sz="0" w:space="0" w:color="auto"/>
                <w:right w:val="none" w:sz="0" w:space="0" w:color="auto"/>
              </w:divBdr>
              <w:divsChild>
                <w:div w:id="13559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028966">
      <w:bodyDiv w:val="1"/>
      <w:marLeft w:val="0"/>
      <w:marRight w:val="0"/>
      <w:marTop w:val="0"/>
      <w:marBottom w:val="0"/>
      <w:divBdr>
        <w:top w:val="none" w:sz="0" w:space="0" w:color="auto"/>
        <w:left w:val="none" w:sz="0" w:space="0" w:color="auto"/>
        <w:bottom w:val="none" w:sz="0" w:space="0" w:color="auto"/>
        <w:right w:val="none" w:sz="0" w:space="0" w:color="auto"/>
      </w:divBdr>
      <w:divsChild>
        <w:div w:id="1430151828">
          <w:marLeft w:val="0"/>
          <w:marRight w:val="0"/>
          <w:marTop w:val="0"/>
          <w:marBottom w:val="0"/>
          <w:divBdr>
            <w:top w:val="none" w:sz="0" w:space="0" w:color="auto"/>
            <w:left w:val="none" w:sz="0" w:space="0" w:color="auto"/>
            <w:bottom w:val="none" w:sz="0" w:space="0" w:color="auto"/>
            <w:right w:val="none" w:sz="0" w:space="0" w:color="auto"/>
          </w:divBdr>
          <w:divsChild>
            <w:div w:id="224875912">
              <w:marLeft w:val="0"/>
              <w:marRight w:val="0"/>
              <w:marTop w:val="0"/>
              <w:marBottom w:val="0"/>
              <w:divBdr>
                <w:top w:val="none" w:sz="0" w:space="0" w:color="auto"/>
                <w:left w:val="none" w:sz="0" w:space="0" w:color="auto"/>
                <w:bottom w:val="none" w:sz="0" w:space="0" w:color="auto"/>
                <w:right w:val="none" w:sz="0" w:space="0" w:color="auto"/>
              </w:divBdr>
              <w:divsChild>
                <w:div w:id="6128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870075">
      <w:bodyDiv w:val="1"/>
      <w:marLeft w:val="0"/>
      <w:marRight w:val="0"/>
      <w:marTop w:val="0"/>
      <w:marBottom w:val="0"/>
      <w:divBdr>
        <w:top w:val="none" w:sz="0" w:space="0" w:color="auto"/>
        <w:left w:val="none" w:sz="0" w:space="0" w:color="auto"/>
        <w:bottom w:val="none" w:sz="0" w:space="0" w:color="auto"/>
        <w:right w:val="none" w:sz="0" w:space="0" w:color="auto"/>
      </w:divBdr>
      <w:divsChild>
        <w:div w:id="1316030875">
          <w:marLeft w:val="0"/>
          <w:marRight w:val="0"/>
          <w:marTop w:val="0"/>
          <w:marBottom w:val="0"/>
          <w:divBdr>
            <w:top w:val="none" w:sz="0" w:space="0" w:color="auto"/>
            <w:left w:val="none" w:sz="0" w:space="0" w:color="auto"/>
            <w:bottom w:val="none" w:sz="0" w:space="0" w:color="auto"/>
            <w:right w:val="none" w:sz="0" w:space="0" w:color="auto"/>
          </w:divBdr>
          <w:divsChild>
            <w:div w:id="1060789196">
              <w:marLeft w:val="0"/>
              <w:marRight w:val="0"/>
              <w:marTop w:val="0"/>
              <w:marBottom w:val="0"/>
              <w:divBdr>
                <w:top w:val="none" w:sz="0" w:space="0" w:color="auto"/>
                <w:left w:val="none" w:sz="0" w:space="0" w:color="auto"/>
                <w:bottom w:val="none" w:sz="0" w:space="0" w:color="auto"/>
                <w:right w:val="none" w:sz="0" w:space="0" w:color="auto"/>
              </w:divBdr>
              <w:divsChild>
                <w:div w:id="10718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2381">
      <w:bodyDiv w:val="1"/>
      <w:marLeft w:val="0"/>
      <w:marRight w:val="0"/>
      <w:marTop w:val="0"/>
      <w:marBottom w:val="0"/>
      <w:divBdr>
        <w:top w:val="none" w:sz="0" w:space="0" w:color="auto"/>
        <w:left w:val="none" w:sz="0" w:space="0" w:color="auto"/>
        <w:bottom w:val="none" w:sz="0" w:space="0" w:color="auto"/>
        <w:right w:val="none" w:sz="0" w:space="0" w:color="auto"/>
      </w:divBdr>
      <w:divsChild>
        <w:div w:id="1535776042">
          <w:marLeft w:val="0"/>
          <w:marRight w:val="0"/>
          <w:marTop w:val="0"/>
          <w:marBottom w:val="0"/>
          <w:divBdr>
            <w:top w:val="none" w:sz="0" w:space="0" w:color="auto"/>
            <w:left w:val="none" w:sz="0" w:space="0" w:color="auto"/>
            <w:bottom w:val="none" w:sz="0" w:space="0" w:color="auto"/>
            <w:right w:val="none" w:sz="0" w:space="0" w:color="auto"/>
          </w:divBdr>
          <w:divsChild>
            <w:div w:id="1714768573">
              <w:marLeft w:val="0"/>
              <w:marRight w:val="0"/>
              <w:marTop w:val="0"/>
              <w:marBottom w:val="0"/>
              <w:divBdr>
                <w:top w:val="none" w:sz="0" w:space="0" w:color="auto"/>
                <w:left w:val="none" w:sz="0" w:space="0" w:color="auto"/>
                <w:bottom w:val="none" w:sz="0" w:space="0" w:color="auto"/>
                <w:right w:val="none" w:sz="0" w:space="0" w:color="auto"/>
              </w:divBdr>
              <w:divsChild>
                <w:div w:id="10588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2023-04-28T01:21:00Z</dcterms:created>
  <dcterms:modified xsi:type="dcterms:W3CDTF">2023-04-28T01:31:00Z</dcterms:modified>
</cp:coreProperties>
</file>