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6FA5" w14:textId="3DF05275" w:rsidR="008C02CC" w:rsidRPr="00864ADB" w:rsidRDefault="00864ADB" w:rsidP="00864ADB">
      <w:pPr>
        <w:spacing w:line="276" w:lineRule="auto"/>
        <w:rPr>
          <w:rFonts w:ascii="Times New Roman" w:hAnsi="Times New Roman" w:cs="Times New Roman"/>
          <w:b/>
          <w:bCs/>
        </w:rPr>
      </w:pPr>
      <w:r w:rsidRPr="00864ADB">
        <w:rPr>
          <w:rFonts w:ascii="Times New Roman" w:hAnsi="Times New Roman" w:cs="Times New Roman"/>
          <w:b/>
          <w:bCs/>
        </w:rPr>
        <w:t>Question 3</w:t>
      </w:r>
    </w:p>
    <w:p w14:paraId="1C0B8587" w14:textId="6236EEA5" w:rsidR="00864ADB" w:rsidRDefault="00864ADB" w:rsidP="00864ADB">
      <w:pPr>
        <w:spacing w:line="276" w:lineRule="auto"/>
        <w:rPr>
          <w:rFonts w:ascii="Times New Roman" w:hAnsi="Times New Roman" w:cs="Times New Roman"/>
        </w:rPr>
      </w:pPr>
      <w:r w:rsidRPr="00864ADB">
        <w:rPr>
          <w:rFonts w:ascii="Times New Roman" w:hAnsi="Times New Roman" w:cs="Times New Roman"/>
        </w:rPr>
        <w:t>Ling, Peng and Quan have been in partnership for many years, sharing profit and loss ratio 2:1:2 respectively. The Statement of Financial Position of the firm as at 31</w:t>
      </w:r>
      <w:r w:rsidRPr="00864ADB">
        <w:rPr>
          <w:rFonts w:ascii="Times New Roman" w:hAnsi="Times New Roman" w:cs="Times New Roman"/>
        </w:rPr>
        <w:t xml:space="preserve"> </w:t>
      </w:r>
      <w:r w:rsidRPr="00864ADB">
        <w:rPr>
          <w:rFonts w:ascii="Times New Roman" w:hAnsi="Times New Roman" w:cs="Times New Roman"/>
        </w:rPr>
        <w:t>December 2022:</w:t>
      </w:r>
    </w:p>
    <w:p w14:paraId="782BB6FF" w14:textId="77777777" w:rsidR="006C4B38" w:rsidRPr="00864ADB" w:rsidRDefault="006C4B38" w:rsidP="00864ADB">
      <w:pPr>
        <w:spacing w:line="276"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1559"/>
        <w:gridCol w:w="1508"/>
      </w:tblGrid>
      <w:tr w:rsidR="00864ADB" w:rsidRPr="00864ADB" w14:paraId="251F7676" w14:textId="77777777" w:rsidTr="00864ADB">
        <w:tc>
          <w:tcPr>
            <w:tcW w:w="5949" w:type="dxa"/>
          </w:tcPr>
          <w:p w14:paraId="51F2F821" w14:textId="77777777" w:rsidR="00864ADB" w:rsidRPr="00864ADB" w:rsidRDefault="00864ADB" w:rsidP="00864ADB">
            <w:pPr>
              <w:spacing w:line="276" w:lineRule="auto"/>
              <w:rPr>
                <w:rFonts w:ascii="Times New Roman" w:hAnsi="Times New Roman" w:cs="Times New Roman"/>
              </w:rPr>
            </w:pPr>
          </w:p>
        </w:tc>
        <w:tc>
          <w:tcPr>
            <w:tcW w:w="1559" w:type="dxa"/>
          </w:tcPr>
          <w:p w14:paraId="7125E6AC" w14:textId="65FBEA9E" w:rsidR="00864ADB" w:rsidRPr="00864ADB" w:rsidRDefault="00337FE3" w:rsidP="00864ADB">
            <w:pPr>
              <w:spacing w:line="276" w:lineRule="auto"/>
              <w:jc w:val="center"/>
              <w:rPr>
                <w:rFonts w:ascii="Times New Roman" w:hAnsi="Times New Roman" w:cs="Times New Roman"/>
                <w:b/>
                <w:bCs/>
              </w:rPr>
            </w:pPr>
            <w:r>
              <w:rPr>
                <w:rFonts w:ascii="Times New Roman" w:hAnsi="Times New Roman" w:cs="Times New Roman"/>
                <w:b/>
                <w:bCs/>
              </w:rPr>
              <w:t xml:space="preserve">         </w:t>
            </w:r>
            <w:r w:rsidR="00864ADB" w:rsidRPr="00864ADB">
              <w:rPr>
                <w:rFonts w:ascii="Times New Roman" w:hAnsi="Times New Roman" w:cs="Times New Roman"/>
                <w:b/>
                <w:bCs/>
              </w:rPr>
              <w:t>RM</w:t>
            </w:r>
          </w:p>
        </w:tc>
        <w:tc>
          <w:tcPr>
            <w:tcW w:w="1508" w:type="dxa"/>
          </w:tcPr>
          <w:p w14:paraId="560F543C" w14:textId="4B1EA513" w:rsidR="00864ADB" w:rsidRPr="00864ADB" w:rsidRDefault="00337FE3" w:rsidP="00864ADB">
            <w:pPr>
              <w:spacing w:line="276" w:lineRule="auto"/>
              <w:jc w:val="center"/>
              <w:rPr>
                <w:rFonts w:ascii="Times New Roman" w:hAnsi="Times New Roman" w:cs="Times New Roman"/>
                <w:b/>
                <w:bCs/>
              </w:rPr>
            </w:pPr>
            <w:r>
              <w:rPr>
                <w:rFonts w:ascii="Times New Roman" w:hAnsi="Times New Roman" w:cs="Times New Roman"/>
                <w:b/>
                <w:bCs/>
              </w:rPr>
              <w:t xml:space="preserve">         </w:t>
            </w:r>
            <w:r w:rsidR="00864ADB" w:rsidRPr="00864ADB">
              <w:rPr>
                <w:rFonts w:ascii="Times New Roman" w:hAnsi="Times New Roman" w:cs="Times New Roman"/>
                <w:b/>
                <w:bCs/>
              </w:rPr>
              <w:t>RM</w:t>
            </w:r>
          </w:p>
        </w:tc>
      </w:tr>
      <w:tr w:rsidR="00864ADB" w:rsidRPr="00864ADB" w14:paraId="5F99E1DF" w14:textId="77777777" w:rsidTr="00864ADB">
        <w:tc>
          <w:tcPr>
            <w:tcW w:w="5949" w:type="dxa"/>
          </w:tcPr>
          <w:p w14:paraId="43105F97" w14:textId="5171464B" w:rsidR="00864ADB" w:rsidRPr="00864ADB" w:rsidRDefault="00864ADB" w:rsidP="00864ADB">
            <w:pPr>
              <w:spacing w:line="276" w:lineRule="auto"/>
              <w:rPr>
                <w:rFonts w:ascii="Times New Roman" w:hAnsi="Times New Roman" w:cs="Times New Roman"/>
                <w:b/>
                <w:bCs/>
                <w:u w:val="single"/>
              </w:rPr>
            </w:pPr>
            <w:r w:rsidRPr="00864ADB">
              <w:rPr>
                <w:rFonts w:ascii="Times New Roman" w:hAnsi="Times New Roman" w:cs="Times New Roman"/>
                <w:b/>
                <w:bCs/>
                <w:u w:val="single"/>
              </w:rPr>
              <w:t>Non-Current Assets</w:t>
            </w:r>
          </w:p>
        </w:tc>
        <w:tc>
          <w:tcPr>
            <w:tcW w:w="1559" w:type="dxa"/>
          </w:tcPr>
          <w:p w14:paraId="662FEBB6" w14:textId="77777777" w:rsidR="00864ADB" w:rsidRPr="00864ADB" w:rsidRDefault="00864ADB" w:rsidP="00864ADB">
            <w:pPr>
              <w:spacing w:line="276" w:lineRule="auto"/>
              <w:rPr>
                <w:rFonts w:ascii="Times New Roman" w:hAnsi="Times New Roman" w:cs="Times New Roman"/>
              </w:rPr>
            </w:pPr>
          </w:p>
        </w:tc>
        <w:tc>
          <w:tcPr>
            <w:tcW w:w="1508" w:type="dxa"/>
          </w:tcPr>
          <w:p w14:paraId="5772865F" w14:textId="77777777" w:rsidR="00864ADB" w:rsidRPr="00864ADB" w:rsidRDefault="00864ADB" w:rsidP="00864ADB">
            <w:pPr>
              <w:spacing w:line="276" w:lineRule="auto"/>
              <w:rPr>
                <w:rFonts w:ascii="Times New Roman" w:hAnsi="Times New Roman" w:cs="Times New Roman"/>
              </w:rPr>
            </w:pPr>
          </w:p>
        </w:tc>
      </w:tr>
      <w:tr w:rsidR="00864ADB" w:rsidRPr="00864ADB" w14:paraId="66A9498F" w14:textId="77777777" w:rsidTr="00864ADB">
        <w:tc>
          <w:tcPr>
            <w:tcW w:w="5949" w:type="dxa"/>
          </w:tcPr>
          <w:p w14:paraId="2D7B0F6A" w14:textId="01A280E5"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Freehold Premises</w:t>
            </w:r>
          </w:p>
        </w:tc>
        <w:tc>
          <w:tcPr>
            <w:tcW w:w="1559" w:type="dxa"/>
          </w:tcPr>
          <w:p w14:paraId="650B2275" w14:textId="5EDAE222"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100,000</w:t>
            </w:r>
          </w:p>
        </w:tc>
        <w:tc>
          <w:tcPr>
            <w:tcW w:w="1508" w:type="dxa"/>
          </w:tcPr>
          <w:p w14:paraId="7735D13F"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76FB2D92" w14:textId="77777777" w:rsidTr="00864ADB">
        <w:tc>
          <w:tcPr>
            <w:tcW w:w="5949" w:type="dxa"/>
          </w:tcPr>
          <w:p w14:paraId="0777CD8B" w14:textId="523775E8"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Office Equipment</w:t>
            </w:r>
          </w:p>
        </w:tc>
        <w:tc>
          <w:tcPr>
            <w:tcW w:w="1559" w:type="dxa"/>
          </w:tcPr>
          <w:p w14:paraId="1A14F1C4" w14:textId="7DF150AF"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12,000</w:t>
            </w:r>
          </w:p>
        </w:tc>
        <w:tc>
          <w:tcPr>
            <w:tcW w:w="1508" w:type="dxa"/>
          </w:tcPr>
          <w:p w14:paraId="308B9C62"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0AD97B1A" w14:textId="77777777" w:rsidTr="00864ADB">
        <w:tc>
          <w:tcPr>
            <w:tcW w:w="5949" w:type="dxa"/>
          </w:tcPr>
          <w:p w14:paraId="1D102F4E" w14:textId="34B31F46"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Motor Vehicles</w:t>
            </w:r>
          </w:p>
        </w:tc>
        <w:tc>
          <w:tcPr>
            <w:tcW w:w="1559" w:type="dxa"/>
          </w:tcPr>
          <w:p w14:paraId="10F38128" w14:textId="61C6486C"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6,000</w:t>
            </w:r>
          </w:p>
        </w:tc>
        <w:tc>
          <w:tcPr>
            <w:tcW w:w="1508" w:type="dxa"/>
          </w:tcPr>
          <w:p w14:paraId="68AE8963"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776237DF" w14:textId="77777777" w:rsidTr="00864ADB">
        <w:tc>
          <w:tcPr>
            <w:tcW w:w="5949" w:type="dxa"/>
          </w:tcPr>
          <w:p w14:paraId="545449A5" w14:textId="56C38523"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Furniture and Fixtures</w:t>
            </w:r>
          </w:p>
        </w:tc>
        <w:tc>
          <w:tcPr>
            <w:tcW w:w="1559" w:type="dxa"/>
            <w:tcBorders>
              <w:bottom w:val="single" w:sz="4" w:space="0" w:color="auto"/>
            </w:tcBorders>
          </w:tcPr>
          <w:p w14:paraId="409A176F" w14:textId="5B4E398C"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4,000</w:t>
            </w:r>
          </w:p>
        </w:tc>
        <w:tc>
          <w:tcPr>
            <w:tcW w:w="1508" w:type="dxa"/>
          </w:tcPr>
          <w:p w14:paraId="7281C4A7" w14:textId="5DC1D0EF"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122,000</w:t>
            </w:r>
          </w:p>
        </w:tc>
      </w:tr>
      <w:tr w:rsidR="00864ADB" w:rsidRPr="00864ADB" w14:paraId="39072B17" w14:textId="77777777" w:rsidTr="00864ADB">
        <w:tc>
          <w:tcPr>
            <w:tcW w:w="5949" w:type="dxa"/>
          </w:tcPr>
          <w:p w14:paraId="0E0653EF" w14:textId="24210690" w:rsidR="00864ADB" w:rsidRPr="00864ADB" w:rsidRDefault="00864ADB" w:rsidP="00864ADB">
            <w:pPr>
              <w:spacing w:line="276" w:lineRule="auto"/>
              <w:rPr>
                <w:rFonts w:ascii="Times New Roman" w:hAnsi="Times New Roman" w:cs="Times New Roman"/>
              </w:rPr>
            </w:pPr>
          </w:p>
        </w:tc>
        <w:tc>
          <w:tcPr>
            <w:tcW w:w="1559" w:type="dxa"/>
            <w:tcBorders>
              <w:top w:val="single" w:sz="4" w:space="0" w:color="auto"/>
            </w:tcBorders>
          </w:tcPr>
          <w:p w14:paraId="23CEBD49" w14:textId="77777777" w:rsidR="00864ADB" w:rsidRPr="00864ADB" w:rsidRDefault="00864ADB" w:rsidP="00864ADB">
            <w:pPr>
              <w:spacing w:line="276" w:lineRule="auto"/>
              <w:jc w:val="right"/>
              <w:rPr>
                <w:rFonts w:ascii="Times New Roman" w:hAnsi="Times New Roman" w:cs="Times New Roman"/>
              </w:rPr>
            </w:pPr>
          </w:p>
        </w:tc>
        <w:tc>
          <w:tcPr>
            <w:tcW w:w="1508" w:type="dxa"/>
          </w:tcPr>
          <w:p w14:paraId="4D405B9B"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54A577D6" w14:textId="77777777" w:rsidTr="00864ADB">
        <w:tc>
          <w:tcPr>
            <w:tcW w:w="5949" w:type="dxa"/>
          </w:tcPr>
          <w:p w14:paraId="630CECC4" w14:textId="5737F8E2" w:rsidR="00864ADB" w:rsidRPr="00864ADB" w:rsidRDefault="00864ADB" w:rsidP="00864ADB">
            <w:pPr>
              <w:spacing w:line="276" w:lineRule="auto"/>
              <w:rPr>
                <w:rFonts w:ascii="Times New Roman" w:hAnsi="Times New Roman" w:cs="Times New Roman"/>
                <w:b/>
                <w:bCs/>
                <w:u w:val="single"/>
              </w:rPr>
            </w:pPr>
            <w:r w:rsidRPr="00864ADB">
              <w:rPr>
                <w:rFonts w:ascii="Times New Roman" w:hAnsi="Times New Roman" w:cs="Times New Roman"/>
                <w:b/>
                <w:bCs/>
                <w:u w:val="single"/>
              </w:rPr>
              <w:t>Current Assets</w:t>
            </w:r>
          </w:p>
        </w:tc>
        <w:tc>
          <w:tcPr>
            <w:tcW w:w="1559" w:type="dxa"/>
          </w:tcPr>
          <w:p w14:paraId="01E40C20" w14:textId="77777777" w:rsidR="00864ADB" w:rsidRPr="00864ADB" w:rsidRDefault="00864ADB" w:rsidP="00864ADB">
            <w:pPr>
              <w:spacing w:line="276" w:lineRule="auto"/>
              <w:jc w:val="right"/>
              <w:rPr>
                <w:rFonts w:ascii="Times New Roman" w:hAnsi="Times New Roman" w:cs="Times New Roman"/>
              </w:rPr>
            </w:pPr>
          </w:p>
        </w:tc>
        <w:tc>
          <w:tcPr>
            <w:tcW w:w="1508" w:type="dxa"/>
          </w:tcPr>
          <w:p w14:paraId="24B1D0D6"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1D3C99E3" w14:textId="77777777" w:rsidTr="00864ADB">
        <w:tc>
          <w:tcPr>
            <w:tcW w:w="5949" w:type="dxa"/>
          </w:tcPr>
          <w:p w14:paraId="3258031B" w14:textId="1953CDC5"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Inventory</w:t>
            </w:r>
          </w:p>
        </w:tc>
        <w:tc>
          <w:tcPr>
            <w:tcW w:w="1559" w:type="dxa"/>
          </w:tcPr>
          <w:p w14:paraId="757BE0C5" w14:textId="6B1A2E72"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12,000</w:t>
            </w:r>
          </w:p>
        </w:tc>
        <w:tc>
          <w:tcPr>
            <w:tcW w:w="1508" w:type="dxa"/>
          </w:tcPr>
          <w:p w14:paraId="2C6AEE16"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5BE820E0" w14:textId="77777777" w:rsidTr="00864ADB">
        <w:tc>
          <w:tcPr>
            <w:tcW w:w="5949" w:type="dxa"/>
          </w:tcPr>
          <w:p w14:paraId="124C5B00" w14:textId="3F09C5F9"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Accounts Receivable</w:t>
            </w:r>
          </w:p>
        </w:tc>
        <w:tc>
          <w:tcPr>
            <w:tcW w:w="1559" w:type="dxa"/>
          </w:tcPr>
          <w:p w14:paraId="164BD9A2" w14:textId="6945F600"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6,500</w:t>
            </w:r>
          </w:p>
        </w:tc>
        <w:tc>
          <w:tcPr>
            <w:tcW w:w="1508" w:type="dxa"/>
          </w:tcPr>
          <w:p w14:paraId="76E8CC07"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35A08926" w14:textId="77777777" w:rsidTr="00864ADB">
        <w:tc>
          <w:tcPr>
            <w:tcW w:w="5949" w:type="dxa"/>
          </w:tcPr>
          <w:p w14:paraId="38AA15E3" w14:textId="74FCBF44"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Bank</w:t>
            </w:r>
          </w:p>
        </w:tc>
        <w:tc>
          <w:tcPr>
            <w:tcW w:w="1559" w:type="dxa"/>
            <w:tcBorders>
              <w:bottom w:val="single" w:sz="4" w:space="0" w:color="auto"/>
            </w:tcBorders>
          </w:tcPr>
          <w:p w14:paraId="701680A6" w14:textId="23DA532B"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4,100</w:t>
            </w:r>
          </w:p>
        </w:tc>
        <w:tc>
          <w:tcPr>
            <w:tcW w:w="1508" w:type="dxa"/>
            <w:tcBorders>
              <w:bottom w:val="single" w:sz="4" w:space="0" w:color="auto"/>
            </w:tcBorders>
          </w:tcPr>
          <w:p w14:paraId="2A5262AE" w14:textId="206C29B4"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22,600</w:t>
            </w:r>
          </w:p>
        </w:tc>
      </w:tr>
      <w:tr w:rsidR="00864ADB" w:rsidRPr="00864ADB" w14:paraId="1AFF2E52" w14:textId="77777777" w:rsidTr="00864ADB">
        <w:tc>
          <w:tcPr>
            <w:tcW w:w="5949" w:type="dxa"/>
          </w:tcPr>
          <w:p w14:paraId="587059A4" w14:textId="129EB5B4"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Total Assets</w:t>
            </w:r>
          </w:p>
        </w:tc>
        <w:tc>
          <w:tcPr>
            <w:tcW w:w="1559" w:type="dxa"/>
            <w:tcBorders>
              <w:top w:val="single" w:sz="4" w:space="0" w:color="auto"/>
            </w:tcBorders>
          </w:tcPr>
          <w:p w14:paraId="692BD96B" w14:textId="77777777" w:rsidR="00864ADB" w:rsidRPr="00864ADB" w:rsidRDefault="00864ADB" w:rsidP="00864ADB">
            <w:pPr>
              <w:spacing w:line="276" w:lineRule="auto"/>
              <w:jc w:val="right"/>
              <w:rPr>
                <w:rFonts w:ascii="Times New Roman" w:hAnsi="Times New Roman" w:cs="Times New Roman"/>
              </w:rPr>
            </w:pPr>
          </w:p>
        </w:tc>
        <w:tc>
          <w:tcPr>
            <w:tcW w:w="1508" w:type="dxa"/>
            <w:tcBorders>
              <w:top w:val="single" w:sz="4" w:space="0" w:color="auto"/>
              <w:bottom w:val="double" w:sz="4" w:space="0" w:color="auto"/>
            </w:tcBorders>
          </w:tcPr>
          <w:p w14:paraId="5240CCD7" w14:textId="346CC769"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144,600</w:t>
            </w:r>
          </w:p>
        </w:tc>
      </w:tr>
      <w:tr w:rsidR="00864ADB" w:rsidRPr="00864ADB" w14:paraId="046EC8F4" w14:textId="77777777" w:rsidTr="00864ADB">
        <w:tc>
          <w:tcPr>
            <w:tcW w:w="5949" w:type="dxa"/>
          </w:tcPr>
          <w:p w14:paraId="5E89641D" w14:textId="59FBA414" w:rsidR="00864ADB" w:rsidRPr="00864ADB" w:rsidRDefault="00864ADB" w:rsidP="00864ADB">
            <w:pPr>
              <w:spacing w:line="276" w:lineRule="auto"/>
              <w:rPr>
                <w:rFonts w:ascii="Times New Roman" w:hAnsi="Times New Roman" w:cs="Times New Roman"/>
              </w:rPr>
            </w:pPr>
          </w:p>
        </w:tc>
        <w:tc>
          <w:tcPr>
            <w:tcW w:w="1559" w:type="dxa"/>
          </w:tcPr>
          <w:p w14:paraId="57D28494" w14:textId="77777777" w:rsidR="00864ADB" w:rsidRPr="00864ADB" w:rsidRDefault="00864ADB" w:rsidP="00864ADB">
            <w:pPr>
              <w:spacing w:line="276" w:lineRule="auto"/>
              <w:jc w:val="right"/>
              <w:rPr>
                <w:rFonts w:ascii="Times New Roman" w:hAnsi="Times New Roman" w:cs="Times New Roman"/>
              </w:rPr>
            </w:pPr>
          </w:p>
        </w:tc>
        <w:tc>
          <w:tcPr>
            <w:tcW w:w="1508" w:type="dxa"/>
            <w:tcBorders>
              <w:top w:val="double" w:sz="4" w:space="0" w:color="auto"/>
            </w:tcBorders>
          </w:tcPr>
          <w:p w14:paraId="4234F383"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3C59D6BD" w14:textId="77777777" w:rsidTr="00864ADB">
        <w:tc>
          <w:tcPr>
            <w:tcW w:w="5949" w:type="dxa"/>
          </w:tcPr>
          <w:p w14:paraId="64647D9A" w14:textId="6054ED36" w:rsidR="00864ADB" w:rsidRPr="00864ADB" w:rsidRDefault="00864ADB" w:rsidP="00864ADB">
            <w:pPr>
              <w:spacing w:line="276" w:lineRule="auto"/>
              <w:rPr>
                <w:rFonts w:ascii="Times New Roman" w:hAnsi="Times New Roman" w:cs="Times New Roman"/>
                <w:b/>
                <w:bCs/>
                <w:u w:val="single"/>
              </w:rPr>
            </w:pPr>
            <w:r w:rsidRPr="00864ADB">
              <w:rPr>
                <w:rFonts w:ascii="Times New Roman" w:hAnsi="Times New Roman" w:cs="Times New Roman"/>
                <w:b/>
                <w:bCs/>
                <w:u w:val="single"/>
              </w:rPr>
              <w:t>Owners' Equity</w:t>
            </w:r>
          </w:p>
        </w:tc>
        <w:tc>
          <w:tcPr>
            <w:tcW w:w="1559" w:type="dxa"/>
          </w:tcPr>
          <w:p w14:paraId="7E3379B3" w14:textId="77777777" w:rsidR="00864ADB" w:rsidRPr="00864ADB" w:rsidRDefault="00864ADB" w:rsidP="00864ADB">
            <w:pPr>
              <w:spacing w:line="276" w:lineRule="auto"/>
              <w:jc w:val="right"/>
              <w:rPr>
                <w:rFonts w:ascii="Times New Roman" w:hAnsi="Times New Roman" w:cs="Times New Roman"/>
              </w:rPr>
            </w:pPr>
          </w:p>
        </w:tc>
        <w:tc>
          <w:tcPr>
            <w:tcW w:w="1508" w:type="dxa"/>
          </w:tcPr>
          <w:p w14:paraId="17D0B26E"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2134425D" w14:textId="77777777" w:rsidTr="00864ADB">
        <w:tc>
          <w:tcPr>
            <w:tcW w:w="5949" w:type="dxa"/>
          </w:tcPr>
          <w:p w14:paraId="038C99DB" w14:textId="169FE196"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 xml:space="preserve">Capital </w:t>
            </w:r>
            <w:r>
              <w:rPr>
                <w:rFonts w:ascii="Times New Roman" w:hAnsi="Times New Roman" w:cs="Times New Roman"/>
              </w:rPr>
              <w:tab/>
            </w:r>
            <w:r w:rsidRPr="00864ADB">
              <w:rPr>
                <w:rFonts w:ascii="Times New Roman" w:hAnsi="Times New Roman" w:cs="Times New Roman"/>
              </w:rPr>
              <w:t>- Ling</w:t>
            </w:r>
          </w:p>
        </w:tc>
        <w:tc>
          <w:tcPr>
            <w:tcW w:w="1559" w:type="dxa"/>
          </w:tcPr>
          <w:p w14:paraId="43F7190F" w14:textId="52F82982"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50,000</w:t>
            </w:r>
          </w:p>
        </w:tc>
        <w:tc>
          <w:tcPr>
            <w:tcW w:w="1508" w:type="dxa"/>
          </w:tcPr>
          <w:p w14:paraId="79893E9F"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693500E3" w14:textId="77777777" w:rsidTr="00864ADB">
        <w:tc>
          <w:tcPr>
            <w:tcW w:w="5949" w:type="dxa"/>
          </w:tcPr>
          <w:p w14:paraId="06BB211F" w14:textId="2FEF47FA" w:rsidR="00864ADB" w:rsidRPr="00864ADB" w:rsidRDefault="00864ADB" w:rsidP="00864AD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64ADB">
              <w:rPr>
                <w:rFonts w:ascii="Times New Roman" w:hAnsi="Times New Roman" w:cs="Times New Roman"/>
              </w:rPr>
              <w:t>- Peng</w:t>
            </w:r>
          </w:p>
        </w:tc>
        <w:tc>
          <w:tcPr>
            <w:tcW w:w="1559" w:type="dxa"/>
          </w:tcPr>
          <w:p w14:paraId="53F24F25" w14:textId="76959DFD"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30,000</w:t>
            </w:r>
          </w:p>
        </w:tc>
        <w:tc>
          <w:tcPr>
            <w:tcW w:w="1508" w:type="dxa"/>
          </w:tcPr>
          <w:p w14:paraId="11D310B7"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3AF18A04" w14:textId="77777777" w:rsidTr="00864ADB">
        <w:tc>
          <w:tcPr>
            <w:tcW w:w="5949" w:type="dxa"/>
          </w:tcPr>
          <w:p w14:paraId="1C35EA1D" w14:textId="34219BE6" w:rsidR="00864ADB" w:rsidRPr="00864ADB" w:rsidRDefault="00864ADB" w:rsidP="00864AD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64ADB">
              <w:rPr>
                <w:rFonts w:ascii="Times New Roman" w:hAnsi="Times New Roman" w:cs="Times New Roman"/>
              </w:rPr>
              <w:t>- Quan</w:t>
            </w:r>
          </w:p>
        </w:tc>
        <w:tc>
          <w:tcPr>
            <w:tcW w:w="1559" w:type="dxa"/>
            <w:tcBorders>
              <w:bottom w:val="single" w:sz="4" w:space="0" w:color="auto"/>
            </w:tcBorders>
          </w:tcPr>
          <w:p w14:paraId="5B6317C0" w14:textId="26AEDC73"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17,000</w:t>
            </w:r>
          </w:p>
        </w:tc>
        <w:tc>
          <w:tcPr>
            <w:tcW w:w="1508" w:type="dxa"/>
          </w:tcPr>
          <w:p w14:paraId="039309F4" w14:textId="1D1EC5CD"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97,000</w:t>
            </w:r>
          </w:p>
        </w:tc>
      </w:tr>
      <w:tr w:rsidR="00864ADB" w:rsidRPr="00864ADB" w14:paraId="1ACCC9F2" w14:textId="77777777" w:rsidTr="00864ADB">
        <w:tc>
          <w:tcPr>
            <w:tcW w:w="5949" w:type="dxa"/>
          </w:tcPr>
          <w:p w14:paraId="3FFA6A9E" w14:textId="7E050F41"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 xml:space="preserve">Current </w:t>
            </w:r>
            <w:r>
              <w:rPr>
                <w:rFonts w:ascii="Times New Roman" w:hAnsi="Times New Roman" w:cs="Times New Roman"/>
              </w:rPr>
              <w:tab/>
            </w:r>
            <w:r w:rsidRPr="00864ADB">
              <w:rPr>
                <w:rFonts w:ascii="Times New Roman" w:hAnsi="Times New Roman" w:cs="Times New Roman"/>
              </w:rPr>
              <w:t>- Ling</w:t>
            </w:r>
          </w:p>
        </w:tc>
        <w:tc>
          <w:tcPr>
            <w:tcW w:w="1559" w:type="dxa"/>
            <w:tcBorders>
              <w:top w:val="single" w:sz="4" w:space="0" w:color="auto"/>
            </w:tcBorders>
          </w:tcPr>
          <w:p w14:paraId="04D910A9" w14:textId="44730224"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20,000</w:t>
            </w:r>
          </w:p>
        </w:tc>
        <w:tc>
          <w:tcPr>
            <w:tcW w:w="1508" w:type="dxa"/>
          </w:tcPr>
          <w:p w14:paraId="1660CE08"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34FA1ED0" w14:textId="77777777" w:rsidTr="00864ADB">
        <w:tc>
          <w:tcPr>
            <w:tcW w:w="5949" w:type="dxa"/>
          </w:tcPr>
          <w:p w14:paraId="7E3DCE91" w14:textId="0739C802" w:rsidR="00864ADB" w:rsidRPr="00864ADB" w:rsidRDefault="00864ADB" w:rsidP="00864AD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64ADB">
              <w:rPr>
                <w:rFonts w:ascii="Times New Roman" w:hAnsi="Times New Roman" w:cs="Times New Roman"/>
              </w:rPr>
              <w:t>- Peng</w:t>
            </w:r>
          </w:p>
        </w:tc>
        <w:tc>
          <w:tcPr>
            <w:tcW w:w="1559" w:type="dxa"/>
          </w:tcPr>
          <w:p w14:paraId="242A81AC" w14:textId="635D9CD7"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15,000</w:t>
            </w:r>
          </w:p>
        </w:tc>
        <w:tc>
          <w:tcPr>
            <w:tcW w:w="1508" w:type="dxa"/>
          </w:tcPr>
          <w:p w14:paraId="0DBD5F35"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50EEC2E5" w14:textId="77777777" w:rsidTr="00864ADB">
        <w:tc>
          <w:tcPr>
            <w:tcW w:w="5949" w:type="dxa"/>
          </w:tcPr>
          <w:p w14:paraId="4EA6DE74" w14:textId="0E980FD0" w:rsidR="00864ADB" w:rsidRPr="00864ADB" w:rsidRDefault="00864ADB" w:rsidP="00864AD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64ADB">
              <w:rPr>
                <w:rFonts w:ascii="Times New Roman" w:hAnsi="Times New Roman" w:cs="Times New Roman"/>
              </w:rPr>
              <w:t>- Quan</w:t>
            </w:r>
          </w:p>
        </w:tc>
        <w:tc>
          <w:tcPr>
            <w:tcW w:w="1559" w:type="dxa"/>
            <w:tcBorders>
              <w:bottom w:val="single" w:sz="4" w:space="0" w:color="auto"/>
            </w:tcBorders>
          </w:tcPr>
          <w:p w14:paraId="72B0F742" w14:textId="2F19C21D"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(12,000)</w:t>
            </w:r>
          </w:p>
        </w:tc>
        <w:tc>
          <w:tcPr>
            <w:tcW w:w="1508" w:type="dxa"/>
            <w:tcBorders>
              <w:bottom w:val="single" w:sz="4" w:space="0" w:color="auto"/>
            </w:tcBorders>
          </w:tcPr>
          <w:p w14:paraId="0A0A8721" w14:textId="05CD7EBE"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23,000</w:t>
            </w:r>
          </w:p>
        </w:tc>
      </w:tr>
      <w:tr w:rsidR="00864ADB" w:rsidRPr="00864ADB" w14:paraId="182A629F" w14:textId="77777777" w:rsidTr="00864ADB">
        <w:tc>
          <w:tcPr>
            <w:tcW w:w="5949" w:type="dxa"/>
          </w:tcPr>
          <w:p w14:paraId="0D24157F" w14:textId="15ABCF75" w:rsidR="00864ADB" w:rsidRPr="00864ADB" w:rsidRDefault="00864ADB" w:rsidP="00864ADB">
            <w:pPr>
              <w:spacing w:line="276" w:lineRule="auto"/>
              <w:rPr>
                <w:rFonts w:ascii="Times New Roman" w:hAnsi="Times New Roman" w:cs="Times New Roman"/>
              </w:rPr>
            </w:pPr>
          </w:p>
        </w:tc>
        <w:tc>
          <w:tcPr>
            <w:tcW w:w="1559" w:type="dxa"/>
            <w:tcBorders>
              <w:top w:val="single" w:sz="4" w:space="0" w:color="auto"/>
            </w:tcBorders>
          </w:tcPr>
          <w:p w14:paraId="3C596C0C" w14:textId="77777777" w:rsidR="00864ADB" w:rsidRPr="00864ADB" w:rsidRDefault="00864ADB" w:rsidP="00864ADB">
            <w:pPr>
              <w:spacing w:line="276" w:lineRule="auto"/>
              <w:jc w:val="right"/>
              <w:rPr>
                <w:rFonts w:ascii="Times New Roman" w:hAnsi="Times New Roman" w:cs="Times New Roman"/>
              </w:rPr>
            </w:pPr>
          </w:p>
        </w:tc>
        <w:tc>
          <w:tcPr>
            <w:tcW w:w="1508" w:type="dxa"/>
            <w:tcBorders>
              <w:top w:val="single" w:sz="4" w:space="0" w:color="auto"/>
            </w:tcBorders>
          </w:tcPr>
          <w:p w14:paraId="4D92EA11" w14:textId="20065416"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120,000</w:t>
            </w:r>
          </w:p>
        </w:tc>
      </w:tr>
      <w:tr w:rsidR="00864ADB" w:rsidRPr="00864ADB" w14:paraId="63649908" w14:textId="77777777" w:rsidTr="00864ADB">
        <w:tc>
          <w:tcPr>
            <w:tcW w:w="5949" w:type="dxa"/>
          </w:tcPr>
          <w:p w14:paraId="70104365" w14:textId="67BFB426" w:rsidR="00864ADB" w:rsidRPr="00864ADB" w:rsidRDefault="00864ADB" w:rsidP="00864ADB">
            <w:pPr>
              <w:spacing w:line="276" w:lineRule="auto"/>
              <w:rPr>
                <w:rFonts w:ascii="Times New Roman" w:hAnsi="Times New Roman" w:cs="Times New Roman"/>
                <w:b/>
                <w:bCs/>
                <w:u w:val="single"/>
              </w:rPr>
            </w:pPr>
            <w:r w:rsidRPr="00864ADB">
              <w:rPr>
                <w:rFonts w:ascii="Times New Roman" w:hAnsi="Times New Roman" w:cs="Times New Roman"/>
                <w:b/>
                <w:bCs/>
                <w:u w:val="single"/>
              </w:rPr>
              <w:t>Current Liabilities</w:t>
            </w:r>
          </w:p>
        </w:tc>
        <w:tc>
          <w:tcPr>
            <w:tcW w:w="1559" w:type="dxa"/>
          </w:tcPr>
          <w:p w14:paraId="3AF65F85" w14:textId="77777777" w:rsidR="00864ADB" w:rsidRPr="00864ADB" w:rsidRDefault="00864ADB" w:rsidP="00864ADB">
            <w:pPr>
              <w:spacing w:line="276" w:lineRule="auto"/>
              <w:jc w:val="right"/>
              <w:rPr>
                <w:rFonts w:ascii="Times New Roman" w:hAnsi="Times New Roman" w:cs="Times New Roman"/>
              </w:rPr>
            </w:pPr>
          </w:p>
        </w:tc>
        <w:tc>
          <w:tcPr>
            <w:tcW w:w="1508" w:type="dxa"/>
          </w:tcPr>
          <w:p w14:paraId="18BB4577"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32254A0A" w14:textId="77777777" w:rsidTr="00864ADB">
        <w:tc>
          <w:tcPr>
            <w:tcW w:w="5949" w:type="dxa"/>
          </w:tcPr>
          <w:p w14:paraId="0CC60C3A" w14:textId="406EF8C9"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Bank Loan</w:t>
            </w:r>
          </w:p>
        </w:tc>
        <w:tc>
          <w:tcPr>
            <w:tcW w:w="1559" w:type="dxa"/>
          </w:tcPr>
          <w:p w14:paraId="24CFB35C" w14:textId="4AB26A8B"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20,000</w:t>
            </w:r>
          </w:p>
        </w:tc>
        <w:tc>
          <w:tcPr>
            <w:tcW w:w="1508" w:type="dxa"/>
          </w:tcPr>
          <w:p w14:paraId="4F20A34B" w14:textId="77777777" w:rsidR="00864ADB" w:rsidRPr="00864ADB" w:rsidRDefault="00864ADB" w:rsidP="00864ADB">
            <w:pPr>
              <w:spacing w:line="276" w:lineRule="auto"/>
              <w:jc w:val="right"/>
              <w:rPr>
                <w:rFonts w:ascii="Times New Roman" w:hAnsi="Times New Roman" w:cs="Times New Roman"/>
              </w:rPr>
            </w:pPr>
          </w:p>
        </w:tc>
      </w:tr>
      <w:tr w:rsidR="00864ADB" w:rsidRPr="00864ADB" w14:paraId="35C9E55D" w14:textId="77777777" w:rsidTr="00864ADB">
        <w:tc>
          <w:tcPr>
            <w:tcW w:w="5949" w:type="dxa"/>
          </w:tcPr>
          <w:p w14:paraId="0B067ABD" w14:textId="7C4B0ED5"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Accounts Payable</w:t>
            </w:r>
          </w:p>
        </w:tc>
        <w:tc>
          <w:tcPr>
            <w:tcW w:w="1559" w:type="dxa"/>
            <w:tcBorders>
              <w:bottom w:val="single" w:sz="4" w:space="0" w:color="auto"/>
            </w:tcBorders>
          </w:tcPr>
          <w:p w14:paraId="129F4A6D" w14:textId="5CE24AD4"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w:t>
            </w:r>
            <w:r>
              <w:rPr>
                <w:rFonts w:ascii="Times New Roman" w:hAnsi="Times New Roman" w:cs="Times New Roman"/>
              </w:rPr>
              <w:t>6</w:t>
            </w:r>
            <w:r>
              <w:rPr>
                <w:rFonts w:ascii="Times New Roman" w:hAnsi="Times New Roman" w:cs="Times New Roman"/>
              </w:rPr>
              <w:t>00)</w:t>
            </w:r>
          </w:p>
        </w:tc>
        <w:tc>
          <w:tcPr>
            <w:tcW w:w="1508" w:type="dxa"/>
            <w:tcBorders>
              <w:bottom w:val="single" w:sz="4" w:space="0" w:color="auto"/>
            </w:tcBorders>
          </w:tcPr>
          <w:p w14:paraId="03F7000F" w14:textId="1BF6DBC4"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24,600</w:t>
            </w:r>
          </w:p>
        </w:tc>
      </w:tr>
      <w:tr w:rsidR="00864ADB" w:rsidRPr="00864ADB" w14:paraId="6EE2FAC3" w14:textId="77777777" w:rsidTr="00864ADB">
        <w:tc>
          <w:tcPr>
            <w:tcW w:w="5949" w:type="dxa"/>
          </w:tcPr>
          <w:p w14:paraId="2758B766" w14:textId="4BF47570" w:rsidR="00864ADB" w:rsidRPr="00864ADB" w:rsidRDefault="00864ADB" w:rsidP="00864ADB">
            <w:pPr>
              <w:spacing w:line="276" w:lineRule="auto"/>
              <w:rPr>
                <w:rFonts w:ascii="Times New Roman" w:hAnsi="Times New Roman" w:cs="Times New Roman"/>
              </w:rPr>
            </w:pPr>
            <w:r>
              <w:rPr>
                <w:rFonts w:ascii="Times New Roman" w:hAnsi="Times New Roman" w:cs="Times New Roman"/>
              </w:rPr>
              <w:t>Total Equity and Liabilities</w:t>
            </w:r>
          </w:p>
        </w:tc>
        <w:tc>
          <w:tcPr>
            <w:tcW w:w="1559" w:type="dxa"/>
            <w:tcBorders>
              <w:top w:val="single" w:sz="4" w:space="0" w:color="auto"/>
            </w:tcBorders>
          </w:tcPr>
          <w:p w14:paraId="1180985A" w14:textId="19EE9451" w:rsidR="00864ADB" w:rsidRPr="00864ADB" w:rsidRDefault="00864ADB" w:rsidP="00864ADB">
            <w:pPr>
              <w:spacing w:line="276" w:lineRule="auto"/>
              <w:jc w:val="right"/>
              <w:rPr>
                <w:rFonts w:ascii="Times New Roman" w:hAnsi="Times New Roman" w:cs="Times New Roman"/>
              </w:rPr>
            </w:pPr>
          </w:p>
        </w:tc>
        <w:tc>
          <w:tcPr>
            <w:tcW w:w="1508" w:type="dxa"/>
            <w:tcBorders>
              <w:top w:val="single" w:sz="4" w:space="0" w:color="auto"/>
              <w:bottom w:val="double" w:sz="4" w:space="0" w:color="auto"/>
            </w:tcBorders>
          </w:tcPr>
          <w:p w14:paraId="0D617570" w14:textId="6859A918" w:rsidR="00864ADB" w:rsidRPr="00864ADB" w:rsidRDefault="00864ADB" w:rsidP="00864ADB">
            <w:pPr>
              <w:spacing w:line="276" w:lineRule="auto"/>
              <w:jc w:val="right"/>
              <w:rPr>
                <w:rFonts w:ascii="Times New Roman" w:hAnsi="Times New Roman" w:cs="Times New Roman"/>
              </w:rPr>
            </w:pPr>
            <w:r>
              <w:rPr>
                <w:rFonts w:ascii="Times New Roman" w:hAnsi="Times New Roman" w:cs="Times New Roman"/>
              </w:rPr>
              <w:t>144,600</w:t>
            </w:r>
          </w:p>
        </w:tc>
      </w:tr>
      <w:tr w:rsidR="00864ADB" w:rsidRPr="00864ADB" w14:paraId="372BFC1F" w14:textId="77777777" w:rsidTr="00864ADB">
        <w:tc>
          <w:tcPr>
            <w:tcW w:w="5949" w:type="dxa"/>
          </w:tcPr>
          <w:p w14:paraId="45092829" w14:textId="5306A4BC" w:rsidR="00864ADB" w:rsidRPr="00864ADB" w:rsidRDefault="00864ADB" w:rsidP="00864ADB">
            <w:pPr>
              <w:spacing w:line="276" w:lineRule="auto"/>
              <w:rPr>
                <w:rFonts w:ascii="Times New Roman" w:hAnsi="Times New Roman" w:cs="Times New Roman"/>
              </w:rPr>
            </w:pPr>
          </w:p>
        </w:tc>
        <w:tc>
          <w:tcPr>
            <w:tcW w:w="1559" w:type="dxa"/>
          </w:tcPr>
          <w:p w14:paraId="0B567C06" w14:textId="77777777" w:rsidR="00864ADB" w:rsidRPr="00864ADB" w:rsidRDefault="00864ADB" w:rsidP="00864ADB">
            <w:pPr>
              <w:spacing w:line="276" w:lineRule="auto"/>
              <w:jc w:val="right"/>
              <w:rPr>
                <w:rFonts w:ascii="Times New Roman" w:hAnsi="Times New Roman" w:cs="Times New Roman"/>
              </w:rPr>
            </w:pPr>
          </w:p>
        </w:tc>
        <w:tc>
          <w:tcPr>
            <w:tcW w:w="1508" w:type="dxa"/>
            <w:tcBorders>
              <w:top w:val="double" w:sz="4" w:space="0" w:color="auto"/>
            </w:tcBorders>
          </w:tcPr>
          <w:p w14:paraId="0FE09E77" w14:textId="77777777" w:rsidR="00864ADB" w:rsidRPr="00864ADB" w:rsidRDefault="00864ADB" w:rsidP="00864ADB">
            <w:pPr>
              <w:spacing w:line="276" w:lineRule="auto"/>
              <w:jc w:val="right"/>
              <w:rPr>
                <w:rFonts w:ascii="Times New Roman" w:hAnsi="Times New Roman" w:cs="Times New Roman"/>
              </w:rPr>
            </w:pPr>
          </w:p>
        </w:tc>
      </w:tr>
    </w:tbl>
    <w:p w14:paraId="4050E96D" w14:textId="77777777" w:rsidR="00864ADB" w:rsidRDefault="00864ADB" w:rsidP="00864ADB">
      <w:pPr>
        <w:spacing w:line="276" w:lineRule="auto"/>
        <w:rPr>
          <w:rFonts w:ascii="Times New Roman" w:hAnsi="Times New Roman" w:cs="Times New Roman"/>
        </w:rPr>
      </w:pPr>
    </w:p>
    <w:p w14:paraId="36772440" w14:textId="3C450EAD"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rPr>
        <w:t>On 1 January 2023, it was agreed to dissolve the partnership. The following transactions took place during that date:</w:t>
      </w:r>
    </w:p>
    <w:p w14:paraId="35660397" w14:textId="77777777" w:rsidR="00864ADB" w:rsidRDefault="00864ADB" w:rsidP="00864ADB">
      <w:pPr>
        <w:pStyle w:val="ListParagraph"/>
        <w:numPr>
          <w:ilvl w:val="0"/>
          <w:numId w:val="2"/>
        </w:numPr>
        <w:spacing w:line="276" w:lineRule="auto"/>
        <w:ind w:left="567" w:hanging="567"/>
        <w:rPr>
          <w:rFonts w:ascii="Times New Roman" w:hAnsi="Times New Roman" w:cs="Times New Roman"/>
        </w:rPr>
      </w:pPr>
      <w:r w:rsidRPr="00864ADB">
        <w:rPr>
          <w:rFonts w:ascii="Times New Roman" w:hAnsi="Times New Roman" w:cs="Times New Roman"/>
        </w:rPr>
        <w:t>The certain assets were sold for the following amounts:</w:t>
      </w:r>
    </w:p>
    <w:p w14:paraId="5B9E1AB7" w14:textId="2630B394" w:rsidR="00864ADB" w:rsidRPr="00864ADB" w:rsidRDefault="00864ADB" w:rsidP="00864ADB">
      <w:pPr>
        <w:pStyle w:val="ListParagraph"/>
        <w:spacing w:line="276" w:lineRule="auto"/>
        <w:ind w:left="567"/>
        <w:rPr>
          <w:rFonts w:ascii="Times New Roman" w:hAnsi="Times New Roman" w:cs="Times New Roman"/>
        </w:rPr>
      </w:pPr>
      <w:r w:rsidRPr="00864ADB">
        <w:rPr>
          <w:rFonts w:ascii="Times New Roman" w:hAnsi="Times New Roman" w:cs="Times New Roman"/>
        </w:rPr>
        <w:t xml:space="preserve">Freehold Premises RM 70,000, Office Equipment RM 10,000 and the other assets were sold to </w:t>
      </w:r>
      <w:proofErr w:type="spellStart"/>
      <w:r w:rsidRPr="00864ADB">
        <w:rPr>
          <w:rFonts w:ascii="Times New Roman" w:hAnsi="Times New Roman" w:cs="Times New Roman"/>
        </w:rPr>
        <w:t>Skywin</w:t>
      </w:r>
      <w:proofErr w:type="spellEnd"/>
      <w:r w:rsidRPr="00864ADB">
        <w:rPr>
          <w:rFonts w:ascii="Times New Roman" w:hAnsi="Times New Roman" w:cs="Times New Roman"/>
        </w:rPr>
        <w:t xml:space="preserve"> Bhd at a price of RM 14,500.</w:t>
      </w:r>
    </w:p>
    <w:p w14:paraId="7A97572D" w14:textId="77777777" w:rsidR="00864ADB" w:rsidRDefault="00864ADB" w:rsidP="00864ADB">
      <w:pPr>
        <w:pStyle w:val="ListParagraph"/>
        <w:numPr>
          <w:ilvl w:val="0"/>
          <w:numId w:val="2"/>
        </w:numPr>
        <w:spacing w:line="276" w:lineRule="auto"/>
        <w:ind w:left="567" w:hanging="567"/>
        <w:rPr>
          <w:rFonts w:ascii="Times New Roman" w:hAnsi="Times New Roman" w:cs="Times New Roman"/>
        </w:rPr>
      </w:pPr>
      <w:r w:rsidRPr="00864ADB">
        <w:rPr>
          <w:rFonts w:ascii="Times New Roman" w:hAnsi="Times New Roman" w:cs="Times New Roman"/>
        </w:rPr>
        <w:t xml:space="preserve">The price was partly settled by </w:t>
      </w:r>
      <w:proofErr w:type="spellStart"/>
      <w:r w:rsidRPr="00864ADB">
        <w:rPr>
          <w:rFonts w:ascii="Times New Roman" w:hAnsi="Times New Roman" w:cs="Times New Roman"/>
        </w:rPr>
        <w:t>Skywin</w:t>
      </w:r>
      <w:proofErr w:type="spellEnd"/>
      <w:r w:rsidRPr="00864ADB">
        <w:rPr>
          <w:rFonts w:ascii="Times New Roman" w:hAnsi="Times New Roman" w:cs="Times New Roman"/>
        </w:rPr>
        <w:t xml:space="preserve"> Bhd with the payment of RM 4,500, and the balance was settled by the issuance of RM 1 ordinary shares of </w:t>
      </w:r>
      <w:proofErr w:type="spellStart"/>
      <w:r w:rsidRPr="00864ADB">
        <w:rPr>
          <w:rFonts w:ascii="Times New Roman" w:hAnsi="Times New Roman" w:cs="Times New Roman"/>
        </w:rPr>
        <w:t>Skywin</w:t>
      </w:r>
      <w:proofErr w:type="spellEnd"/>
      <w:r w:rsidRPr="00864ADB">
        <w:rPr>
          <w:rFonts w:ascii="Times New Roman" w:hAnsi="Times New Roman" w:cs="Times New Roman"/>
        </w:rPr>
        <w:t xml:space="preserve"> Bhd at par.</w:t>
      </w:r>
    </w:p>
    <w:p w14:paraId="058F0422" w14:textId="07F5C51B" w:rsidR="00864ADB" w:rsidRPr="00864ADB" w:rsidRDefault="00864ADB" w:rsidP="00864ADB">
      <w:pPr>
        <w:pStyle w:val="ListParagraph"/>
        <w:spacing w:line="276" w:lineRule="auto"/>
        <w:ind w:left="567"/>
        <w:rPr>
          <w:rFonts w:ascii="Times New Roman" w:hAnsi="Times New Roman" w:cs="Times New Roman"/>
        </w:rPr>
      </w:pPr>
      <w:r w:rsidRPr="00864ADB">
        <w:rPr>
          <w:rFonts w:ascii="Times New Roman" w:hAnsi="Times New Roman" w:cs="Times New Roman"/>
        </w:rPr>
        <w:t>The partners would divide the shares between them according to their profit and loss sharing ratio.</w:t>
      </w:r>
    </w:p>
    <w:p w14:paraId="5A9E333D" w14:textId="7D015ECD" w:rsidR="00864ADB" w:rsidRPr="00864ADB" w:rsidRDefault="00864ADB" w:rsidP="00864ADB">
      <w:pPr>
        <w:pStyle w:val="ListParagraph"/>
        <w:numPr>
          <w:ilvl w:val="0"/>
          <w:numId w:val="2"/>
        </w:numPr>
        <w:spacing w:line="276" w:lineRule="auto"/>
        <w:ind w:left="567" w:hanging="567"/>
        <w:rPr>
          <w:rFonts w:ascii="Times New Roman" w:hAnsi="Times New Roman" w:cs="Times New Roman"/>
        </w:rPr>
      </w:pPr>
      <w:r w:rsidRPr="00864ADB">
        <w:rPr>
          <w:rFonts w:ascii="Times New Roman" w:hAnsi="Times New Roman" w:cs="Times New Roman"/>
        </w:rPr>
        <w:lastRenderedPageBreak/>
        <w:t>The remaining freehold premises taken over by Quan at RM 40,000 and Furniture and Fixture taken over by Peng at RM 3,500.</w:t>
      </w:r>
    </w:p>
    <w:p w14:paraId="02208F6B" w14:textId="6A46F36E" w:rsidR="00864ADB" w:rsidRPr="00864ADB" w:rsidRDefault="00864ADB" w:rsidP="00864ADB">
      <w:pPr>
        <w:pStyle w:val="ListParagraph"/>
        <w:numPr>
          <w:ilvl w:val="0"/>
          <w:numId w:val="2"/>
        </w:numPr>
        <w:spacing w:line="276" w:lineRule="auto"/>
        <w:ind w:left="567" w:hanging="567"/>
        <w:rPr>
          <w:rFonts w:ascii="Times New Roman" w:hAnsi="Times New Roman" w:cs="Times New Roman"/>
        </w:rPr>
      </w:pPr>
      <w:r w:rsidRPr="00864ADB">
        <w:rPr>
          <w:rFonts w:ascii="Times New Roman" w:hAnsi="Times New Roman" w:cs="Times New Roman"/>
        </w:rPr>
        <w:t>After the partners agreed to allow discounts totalling RM 500, one of the debtor who owe RM 130 was unable to settle, and the other accounts receivable settled all of their debts.</w:t>
      </w:r>
    </w:p>
    <w:p w14:paraId="362AB0B2" w14:textId="423F6C5E" w:rsidR="00864ADB" w:rsidRPr="00864ADB" w:rsidRDefault="00864ADB" w:rsidP="00864ADB">
      <w:pPr>
        <w:pStyle w:val="ListParagraph"/>
        <w:numPr>
          <w:ilvl w:val="0"/>
          <w:numId w:val="2"/>
        </w:numPr>
        <w:spacing w:line="276" w:lineRule="auto"/>
        <w:ind w:left="567" w:hanging="567"/>
        <w:rPr>
          <w:rFonts w:ascii="Times New Roman" w:hAnsi="Times New Roman" w:cs="Times New Roman"/>
        </w:rPr>
      </w:pPr>
      <w:r w:rsidRPr="00864ADB">
        <w:rPr>
          <w:rFonts w:ascii="Times New Roman" w:hAnsi="Times New Roman" w:cs="Times New Roman"/>
        </w:rPr>
        <w:t>The realisation expenses of RM 1,200 were paid by Ling.</w:t>
      </w:r>
    </w:p>
    <w:p w14:paraId="1EC978AE" w14:textId="6BC6406D" w:rsidR="00864ADB" w:rsidRPr="00864ADB" w:rsidRDefault="00864ADB" w:rsidP="00864ADB">
      <w:pPr>
        <w:pStyle w:val="ListParagraph"/>
        <w:numPr>
          <w:ilvl w:val="0"/>
          <w:numId w:val="2"/>
        </w:numPr>
        <w:spacing w:line="276" w:lineRule="auto"/>
        <w:ind w:left="567" w:hanging="567"/>
        <w:rPr>
          <w:rFonts w:ascii="Times New Roman" w:hAnsi="Times New Roman" w:cs="Times New Roman"/>
        </w:rPr>
      </w:pPr>
      <w:r w:rsidRPr="00864ADB">
        <w:rPr>
          <w:rFonts w:ascii="Times New Roman" w:hAnsi="Times New Roman" w:cs="Times New Roman"/>
        </w:rPr>
        <w:t>The partners paid RM 4,500 in full settlement of the amount owed to the accounts payable.</w:t>
      </w:r>
    </w:p>
    <w:p w14:paraId="322777CA" w14:textId="3D2B4C02" w:rsidR="00864ADB" w:rsidRPr="00864ADB" w:rsidRDefault="00864ADB" w:rsidP="00864ADB">
      <w:pPr>
        <w:pStyle w:val="ListParagraph"/>
        <w:numPr>
          <w:ilvl w:val="0"/>
          <w:numId w:val="2"/>
        </w:numPr>
        <w:spacing w:line="276" w:lineRule="auto"/>
        <w:ind w:left="567" w:hanging="567"/>
        <w:rPr>
          <w:rFonts w:ascii="Times New Roman" w:hAnsi="Times New Roman" w:cs="Times New Roman"/>
        </w:rPr>
      </w:pPr>
      <w:r w:rsidRPr="00864ADB">
        <w:rPr>
          <w:rFonts w:ascii="Times New Roman" w:hAnsi="Times New Roman" w:cs="Times New Roman"/>
        </w:rPr>
        <w:t>The partners' current accounts were transferred to their capital accounts.</w:t>
      </w:r>
    </w:p>
    <w:p w14:paraId="2F2B4C49" w14:textId="140BF398" w:rsidR="00864ADB" w:rsidRPr="00864ADB" w:rsidRDefault="00864ADB" w:rsidP="00864ADB">
      <w:pPr>
        <w:pStyle w:val="ListParagraph"/>
        <w:numPr>
          <w:ilvl w:val="0"/>
          <w:numId w:val="2"/>
        </w:numPr>
        <w:spacing w:line="276" w:lineRule="auto"/>
        <w:ind w:left="567" w:hanging="567"/>
        <w:rPr>
          <w:rFonts w:ascii="Times New Roman" w:hAnsi="Times New Roman" w:cs="Times New Roman"/>
        </w:rPr>
      </w:pPr>
      <w:r w:rsidRPr="00864ADB">
        <w:rPr>
          <w:rFonts w:ascii="Times New Roman" w:hAnsi="Times New Roman" w:cs="Times New Roman"/>
        </w:rPr>
        <w:t>Quan was only able to pay 20% of the debt balances from his capital account. His deficiency was to be apportioned between other partner according to Garner vs Murray rule.</w:t>
      </w:r>
    </w:p>
    <w:p w14:paraId="09EAC8AD" w14:textId="77777777" w:rsidR="000B0A20" w:rsidRDefault="000B0A20" w:rsidP="00864ADB">
      <w:pPr>
        <w:spacing w:line="276" w:lineRule="auto"/>
        <w:rPr>
          <w:rFonts w:ascii="Times New Roman" w:hAnsi="Times New Roman" w:cs="Times New Roman"/>
          <w:b/>
          <w:bCs/>
        </w:rPr>
      </w:pPr>
    </w:p>
    <w:p w14:paraId="2B1A666F" w14:textId="189AE909" w:rsidR="00864ADB" w:rsidRPr="00864ADB" w:rsidRDefault="00864ADB" w:rsidP="00864ADB">
      <w:pPr>
        <w:spacing w:line="276" w:lineRule="auto"/>
        <w:rPr>
          <w:rFonts w:ascii="Times New Roman" w:hAnsi="Times New Roman" w:cs="Times New Roman"/>
        </w:rPr>
      </w:pPr>
      <w:r w:rsidRPr="00864ADB">
        <w:rPr>
          <w:rFonts w:ascii="Times New Roman" w:hAnsi="Times New Roman" w:cs="Times New Roman"/>
          <w:b/>
          <w:bCs/>
        </w:rPr>
        <w:t>You are required to</w:t>
      </w:r>
      <w:r w:rsidRPr="00864ADB">
        <w:rPr>
          <w:rFonts w:ascii="Times New Roman" w:hAnsi="Times New Roman" w:cs="Times New Roman"/>
        </w:rPr>
        <w:t xml:space="preserve"> show the closing entries of the following:</w:t>
      </w:r>
    </w:p>
    <w:p w14:paraId="2ED888F7" w14:textId="6F73A116" w:rsidR="00864ADB" w:rsidRPr="00864ADB" w:rsidRDefault="00864ADB" w:rsidP="00864ADB">
      <w:pPr>
        <w:pStyle w:val="ListParagraph"/>
        <w:numPr>
          <w:ilvl w:val="0"/>
          <w:numId w:val="3"/>
        </w:numPr>
        <w:spacing w:line="276" w:lineRule="auto"/>
        <w:rPr>
          <w:rFonts w:ascii="Times New Roman" w:hAnsi="Times New Roman" w:cs="Times New Roman"/>
        </w:rPr>
      </w:pPr>
      <w:r w:rsidRPr="00864ADB">
        <w:rPr>
          <w:rFonts w:ascii="Times New Roman" w:hAnsi="Times New Roman" w:cs="Times New Roman"/>
        </w:rPr>
        <w:t>Realisation;</w:t>
      </w:r>
    </w:p>
    <w:p w14:paraId="440B4100" w14:textId="1CF37D2A" w:rsidR="00864ADB" w:rsidRPr="00864ADB" w:rsidRDefault="00864ADB" w:rsidP="00864ADB">
      <w:pPr>
        <w:pStyle w:val="ListParagraph"/>
        <w:numPr>
          <w:ilvl w:val="0"/>
          <w:numId w:val="3"/>
        </w:numPr>
        <w:spacing w:line="276" w:lineRule="auto"/>
        <w:rPr>
          <w:rFonts w:ascii="Times New Roman" w:hAnsi="Times New Roman" w:cs="Times New Roman"/>
        </w:rPr>
      </w:pPr>
      <w:r w:rsidRPr="00864ADB">
        <w:rPr>
          <w:rFonts w:ascii="Times New Roman" w:hAnsi="Times New Roman" w:cs="Times New Roman"/>
        </w:rPr>
        <w:t>Partners' Capital;</w:t>
      </w:r>
    </w:p>
    <w:p w14:paraId="3F6F107D" w14:textId="6191FDFE" w:rsidR="00864ADB" w:rsidRPr="00864ADB" w:rsidRDefault="00864ADB" w:rsidP="00864ADB">
      <w:pPr>
        <w:pStyle w:val="ListParagraph"/>
        <w:numPr>
          <w:ilvl w:val="0"/>
          <w:numId w:val="3"/>
        </w:numPr>
        <w:spacing w:line="276" w:lineRule="auto"/>
        <w:rPr>
          <w:rFonts w:ascii="Times New Roman" w:hAnsi="Times New Roman" w:cs="Times New Roman"/>
        </w:rPr>
      </w:pPr>
      <w:r w:rsidRPr="00864ADB">
        <w:rPr>
          <w:rFonts w:ascii="Times New Roman" w:hAnsi="Times New Roman" w:cs="Times New Roman"/>
        </w:rPr>
        <w:t>Bank.</w:t>
      </w:r>
    </w:p>
    <w:sectPr w:rsidR="00864ADB" w:rsidRPr="00864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66C2"/>
    <w:multiLevelType w:val="hybridMultilevel"/>
    <w:tmpl w:val="3F96B4B4"/>
    <w:lvl w:ilvl="0" w:tplc="14C2A2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13DC0"/>
    <w:multiLevelType w:val="hybridMultilevel"/>
    <w:tmpl w:val="44B66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981ABE"/>
    <w:multiLevelType w:val="hybridMultilevel"/>
    <w:tmpl w:val="335EEDA4"/>
    <w:lvl w:ilvl="0" w:tplc="188882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B06DA7"/>
    <w:multiLevelType w:val="hybridMultilevel"/>
    <w:tmpl w:val="B934A846"/>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71671013">
    <w:abstractNumId w:val="1"/>
  </w:num>
  <w:num w:numId="2" w16cid:durableId="1421683697">
    <w:abstractNumId w:val="0"/>
  </w:num>
  <w:num w:numId="3" w16cid:durableId="582298538">
    <w:abstractNumId w:val="3"/>
  </w:num>
  <w:num w:numId="4" w16cid:durableId="1950042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B"/>
    <w:rsid w:val="000B0A20"/>
    <w:rsid w:val="00140178"/>
    <w:rsid w:val="002E16DE"/>
    <w:rsid w:val="00337FE3"/>
    <w:rsid w:val="006C4B38"/>
    <w:rsid w:val="00864ADB"/>
    <w:rsid w:val="008C02CC"/>
    <w:rsid w:val="009A3F6E"/>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C02800"/>
  <w15:chartTrackingRefBased/>
  <w15:docId w15:val="{A92E30B4-92C4-1F41-8AB7-6219308A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ADB"/>
    <w:rPr>
      <w:rFonts w:eastAsiaTheme="majorEastAsia" w:cstheme="majorBidi"/>
      <w:color w:val="272727" w:themeColor="text1" w:themeTint="D8"/>
    </w:rPr>
  </w:style>
  <w:style w:type="paragraph" w:styleId="Title">
    <w:name w:val="Title"/>
    <w:basedOn w:val="Normal"/>
    <w:next w:val="Normal"/>
    <w:link w:val="TitleChar"/>
    <w:uiPriority w:val="10"/>
    <w:qFormat/>
    <w:rsid w:val="00864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ADB"/>
    <w:pPr>
      <w:spacing w:before="160"/>
      <w:jc w:val="center"/>
    </w:pPr>
    <w:rPr>
      <w:i/>
      <w:iCs/>
      <w:color w:val="404040" w:themeColor="text1" w:themeTint="BF"/>
    </w:rPr>
  </w:style>
  <w:style w:type="character" w:customStyle="1" w:styleId="QuoteChar">
    <w:name w:val="Quote Char"/>
    <w:basedOn w:val="DefaultParagraphFont"/>
    <w:link w:val="Quote"/>
    <w:uiPriority w:val="29"/>
    <w:rsid w:val="00864ADB"/>
    <w:rPr>
      <w:i/>
      <w:iCs/>
      <w:color w:val="404040" w:themeColor="text1" w:themeTint="BF"/>
    </w:rPr>
  </w:style>
  <w:style w:type="paragraph" w:styleId="ListParagraph">
    <w:name w:val="List Paragraph"/>
    <w:basedOn w:val="Normal"/>
    <w:uiPriority w:val="34"/>
    <w:qFormat/>
    <w:rsid w:val="00864ADB"/>
    <w:pPr>
      <w:ind w:left="720"/>
      <w:contextualSpacing/>
    </w:pPr>
  </w:style>
  <w:style w:type="character" w:styleId="IntenseEmphasis">
    <w:name w:val="Intense Emphasis"/>
    <w:basedOn w:val="DefaultParagraphFont"/>
    <w:uiPriority w:val="21"/>
    <w:qFormat/>
    <w:rsid w:val="00864ADB"/>
    <w:rPr>
      <w:i/>
      <w:iCs/>
      <w:color w:val="0F4761" w:themeColor="accent1" w:themeShade="BF"/>
    </w:rPr>
  </w:style>
  <w:style w:type="paragraph" w:styleId="IntenseQuote">
    <w:name w:val="Intense Quote"/>
    <w:basedOn w:val="Normal"/>
    <w:next w:val="Normal"/>
    <w:link w:val="IntenseQuoteChar"/>
    <w:uiPriority w:val="30"/>
    <w:qFormat/>
    <w:rsid w:val="00864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ADB"/>
    <w:rPr>
      <w:i/>
      <w:iCs/>
      <w:color w:val="0F4761" w:themeColor="accent1" w:themeShade="BF"/>
    </w:rPr>
  </w:style>
  <w:style w:type="character" w:styleId="IntenseReference">
    <w:name w:val="Intense Reference"/>
    <w:basedOn w:val="DefaultParagraphFont"/>
    <w:uiPriority w:val="32"/>
    <w:qFormat/>
    <w:rsid w:val="00864ADB"/>
    <w:rPr>
      <w:b/>
      <w:bCs/>
      <w:smallCaps/>
      <w:color w:val="0F4761" w:themeColor="accent1" w:themeShade="BF"/>
      <w:spacing w:val="5"/>
    </w:rPr>
  </w:style>
  <w:style w:type="table" w:styleId="TableGrid">
    <w:name w:val="Table Grid"/>
    <w:basedOn w:val="TableNormal"/>
    <w:uiPriority w:val="39"/>
    <w:rsid w:val="00864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2024-07-14T06:50:00Z</dcterms:created>
  <dcterms:modified xsi:type="dcterms:W3CDTF">2024-07-14T06:58:00Z</dcterms:modified>
</cp:coreProperties>
</file>