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047B" w14:textId="14A1F720" w:rsidR="00E80C33" w:rsidRPr="00E80C33" w:rsidRDefault="00E80C33" w:rsidP="00E80C33">
      <w:pPr>
        <w:ind w:left="360" w:hanging="360"/>
        <w:jc w:val="center"/>
        <w:rPr>
          <w:rFonts w:ascii="MiSans Normal" w:eastAsia="MiSans Normal" w:hAnsi="MiSans Normal"/>
          <w:b/>
          <w:bCs/>
          <w:sz w:val="20"/>
          <w:szCs w:val="20"/>
        </w:rPr>
      </w:pPr>
      <w:r w:rsidRPr="00E80C33">
        <w:rPr>
          <w:rFonts w:ascii="MiSans Normal" w:eastAsia="MiSans Normal" w:hAnsi="MiSans Normal"/>
          <w:b/>
          <w:bCs/>
          <w:sz w:val="20"/>
          <w:szCs w:val="20"/>
        </w:rPr>
        <w:t>2023</w:t>
      </w:r>
      <w:r w:rsidRPr="00E80C33">
        <w:rPr>
          <w:rFonts w:ascii="MiSans Normal" w:eastAsia="MiSans Normal" w:hAnsi="MiSans Normal" w:hint="eastAsia"/>
          <w:b/>
          <w:bCs/>
          <w:sz w:val="20"/>
          <w:szCs w:val="20"/>
        </w:rPr>
        <w:t>年高二年终考</w:t>
      </w:r>
    </w:p>
    <w:p w14:paraId="16553881" w14:textId="60C0ACC1" w:rsidR="00E80C33" w:rsidRPr="00E80C33" w:rsidRDefault="00E80C33" w:rsidP="00E80C33">
      <w:pPr>
        <w:ind w:left="360" w:hanging="360"/>
        <w:jc w:val="center"/>
        <w:rPr>
          <w:rFonts w:ascii="MiSans Normal" w:eastAsia="MiSans Normal" w:hAnsi="MiSans Normal"/>
          <w:b/>
          <w:bCs/>
          <w:sz w:val="20"/>
          <w:szCs w:val="20"/>
        </w:rPr>
      </w:pPr>
      <w:r w:rsidRPr="00E80C33">
        <w:rPr>
          <w:rFonts w:ascii="MiSans Normal" w:eastAsia="MiSans Normal" w:hAnsi="MiSans Normal" w:hint="eastAsia"/>
          <w:b/>
          <w:bCs/>
          <w:sz w:val="20"/>
          <w:szCs w:val="20"/>
        </w:rPr>
        <w:t>经济学作答题范围</w:t>
      </w:r>
    </w:p>
    <w:p w14:paraId="0421E01A" w14:textId="35A74C57" w:rsidR="008C02CC" w:rsidRPr="00E80C33" w:rsidRDefault="00EC00E7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  <w:r w:rsidRPr="00E80C33">
        <w:rPr>
          <w:rStyle w:val="x1lliihq"/>
          <w:rFonts w:ascii="MiSans Normal" w:eastAsia="MiSans Normal" w:hAnsi="MiSans Normal"/>
          <w:b/>
          <w:bCs/>
          <w:sz w:val="20"/>
          <w:szCs w:val="20"/>
        </w:rPr>
        <w:t>各个市场的特</w:t>
      </w: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>征</w:t>
      </w:r>
    </w:p>
    <w:tbl>
      <w:tblPr>
        <w:tblStyle w:val="TableGrid"/>
        <w:tblW w:w="10064" w:type="dxa"/>
        <w:tblInd w:w="421" w:type="dxa"/>
        <w:tblLook w:val="04A0" w:firstRow="1" w:lastRow="0" w:firstColumn="1" w:lastColumn="0" w:noHBand="0" w:noVBand="1"/>
      </w:tblPr>
      <w:tblGrid>
        <w:gridCol w:w="420"/>
        <w:gridCol w:w="1139"/>
        <w:gridCol w:w="2126"/>
        <w:gridCol w:w="2126"/>
        <w:gridCol w:w="2126"/>
        <w:gridCol w:w="2127"/>
      </w:tblGrid>
      <w:tr w:rsidR="00EC00E7" w:rsidRPr="00E80C33" w14:paraId="521900D3" w14:textId="77777777" w:rsidTr="00E80C33">
        <w:tc>
          <w:tcPr>
            <w:tcW w:w="1559" w:type="dxa"/>
            <w:gridSpan w:val="2"/>
          </w:tcPr>
          <w:p w14:paraId="34B024DA" w14:textId="3FC3C57F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市场结构</w:t>
            </w:r>
          </w:p>
        </w:tc>
        <w:tc>
          <w:tcPr>
            <w:tcW w:w="2126" w:type="dxa"/>
          </w:tcPr>
          <w:p w14:paraId="64828E78" w14:textId="2C44CFFF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完全竞争</w:t>
            </w:r>
          </w:p>
        </w:tc>
        <w:tc>
          <w:tcPr>
            <w:tcW w:w="2126" w:type="dxa"/>
          </w:tcPr>
          <w:p w14:paraId="7FA0892D" w14:textId="1D2EE854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垄断性竞争</w:t>
            </w:r>
          </w:p>
        </w:tc>
        <w:tc>
          <w:tcPr>
            <w:tcW w:w="2126" w:type="dxa"/>
          </w:tcPr>
          <w:p w14:paraId="4CBB7FA7" w14:textId="7E7094E9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寡占</w:t>
            </w:r>
          </w:p>
        </w:tc>
        <w:tc>
          <w:tcPr>
            <w:tcW w:w="2127" w:type="dxa"/>
          </w:tcPr>
          <w:p w14:paraId="501D10B2" w14:textId="31A1DF23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垄断</w:t>
            </w:r>
          </w:p>
        </w:tc>
      </w:tr>
      <w:tr w:rsidR="00EC00E7" w:rsidRPr="00E80C33" w14:paraId="526541A0" w14:textId="77777777" w:rsidTr="00E80C33">
        <w:tc>
          <w:tcPr>
            <w:tcW w:w="420" w:type="dxa"/>
            <w:vMerge w:val="restart"/>
          </w:tcPr>
          <w:p w14:paraId="24418AC7" w14:textId="6AC2B1A1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特征</w:t>
            </w:r>
          </w:p>
        </w:tc>
        <w:tc>
          <w:tcPr>
            <w:tcW w:w="1139" w:type="dxa"/>
          </w:tcPr>
          <w:p w14:paraId="0175ABE5" w14:textId="709FD7AA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厂商数目</w:t>
            </w:r>
          </w:p>
        </w:tc>
        <w:tc>
          <w:tcPr>
            <w:tcW w:w="2126" w:type="dxa"/>
          </w:tcPr>
          <w:p w14:paraId="1A501B21" w14:textId="7093197C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很多</w:t>
            </w:r>
          </w:p>
        </w:tc>
        <w:tc>
          <w:tcPr>
            <w:tcW w:w="2126" w:type="dxa"/>
          </w:tcPr>
          <w:p w14:paraId="0E2D778A" w14:textId="294840B2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较多</w:t>
            </w:r>
          </w:p>
        </w:tc>
        <w:tc>
          <w:tcPr>
            <w:tcW w:w="2126" w:type="dxa"/>
          </w:tcPr>
          <w:p w14:paraId="014FB11B" w14:textId="1D070959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一家以上但不多</w:t>
            </w:r>
          </w:p>
        </w:tc>
        <w:tc>
          <w:tcPr>
            <w:tcW w:w="2127" w:type="dxa"/>
          </w:tcPr>
          <w:p w14:paraId="694A0AF9" w14:textId="18A58796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一家</w:t>
            </w:r>
          </w:p>
        </w:tc>
      </w:tr>
      <w:tr w:rsidR="00EC00E7" w:rsidRPr="00E80C33" w14:paraId="40671DE3" w14:textId="77777777" w:rsidTr="00E80C33">
        <w:tc>
          <w:tcPr>
            <w:tcW w:w="420" w:type="dxa"/>
            <w:vMerge/>
          </w:tcPr>
          <w:p w14:paraId="11937A8F" w14:textId="77777777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</w:tcPr>
          <w:p w14:paraId="61D174D9" w14:textId="110FB4D9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物品性质</w:t>
            </w:r>
          </w:p>
        </w:tc>
        <w:tc>
          <w:tcPr>
            <w:tcW w:w="2126" w:type="dxa"/>
          </w:tcPr>
          <w:p w14:paraId="3B7C8BD0" w14:textId="00965593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同质</w:t>
            </w:r>
          </w:p>
        </w:tc>
        <w:tc>
          <w:tcPr>
            <w:tcW w:w="2126" w:type="dxa"/>
          </w:tcPr>
          <w:p w14:paraId="340C8261" w14:textId="3DC8C3AB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异质</w:t>
            </w:r>
          </w:p>
        </w:tc>
        <w:tc>
          <w:tcPr>
            <w:tcW w:w="2126" w:type="dxa"/>
          </w:tcPr>
          <w:p w14:paraId="5EF29894" w14:textId="48BF6DF6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同质或异质</w:t>
            </w:r>
          </w:p>
        </w:tc>
        <w:tc>
          <w:tcPr>
            <w:tcW w:w="2127" w:type="dxa"/>
          </w:tcPr>
          <w:p w14:paraId="1BD461B3" w14:textId="2B65800D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仅此一家</w:t>
            </w:r>
          </w:p>
        </w:tc>
      </w:tr>
      <w:tr w:rsidR="00EC00E7" w:rsidRPr="00E80C33" w14:paraId="66BB9C80" w14:textId="77777777" w:rsidTr="00E80C33">
        <w:tc>
          <w:tcPr>
            <w:tcW w:w="420" w:type="dxa"/>
            <w:vMerge/>
          </w:tcPr>
          <w:p w14:paraId="4EF26222" w14:textId="77777777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</w:tcPr>
          <w:p w14:paraId="43AB95EE" w14:textId="53A6318C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进出障碍</w:t>
            </w:r>
          </w:p>
        </w:tc>
        <w:tc>
          <w:tcPr>
            <w:tcW w:w="4252" w:type="dxa"/>
            <w:gridSpan w:val="2"/>
          </w:tcPr>
          <w:p w14:paraId="2B569222" w14:textId="369551FA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无</w:t>
            </w:r>
          </w:p>
        </w:tc>
        <w:tc>
          <w:tcPr>
            <w:tcW w:w="4253" w:type="dxa"/>
            <w:gridSpan w:val="2"/>
          </w:tcPr>
          <w:p w14:paraId="7916D7AB" w14:textId="4919B24B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有</w:t>
            </w:r>
          </w:p>
        </w:tc>
      </w:tr>
      <w:tr w:rsidR="00EC00E7" w:rsidRPr="00E80C33" w14:paraId="0E6CBEC3" w14:textId="77777777" w:rsidTr="00E80C33">
        <w:tc>
          <w:tcPr>
            <w:tcW w:w="420" w:type="dxa"/>
            <w:vMerge/>
          </w:tcPr>
          <w:p w14:paraId="466FD8D4" w14:textId="77777777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</w:p>
        </w:tc>
        <w:tc>
          <w:tcPr>
            <w:tcW w:w="1139" w:type="dxa"/>
          </w:tcPr>
          <w:p w14:paraId="4BDE204C" w14:textId="0FE55CB4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市场资讯</w:t>
            </w:r>
          </w:p>
        </w:tc>
        <w:tc>
          <w:tcPr>
            <w:tcW w:w="2126" w:type="dxa"/>
          </w:tcPr>
          <w:p w14:paraId="2389D0F0" w14:textId="3902EC69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完全灵通</w:t>
            </w:r>
          </w:p>
        </w:tc>
        <w:tc>
          <w:tcPr>
            <w:tcW w:w="2126" w:type="dxa"/>
          </w:tcPr>
          <w:p w14:paraId="79214C0B" w14:textId="371A0603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不完全灵通</w:t>
            </w:r>
          </w:p>
        </w:tc>
        <w:tc>
          <w:tcPr>
            <w:tcW w:w="2126" w:type="dxa"/>
          </w:tcPr>
          <w:p w14:paraId="0D6F3F6E" w14:textId="1578B89F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厂商各有机密</w:t>
            </w:r>
          </w:p>
        </w:tc>
        <w:tc>
          <w:tcPr>
            <w:tcW w:w="2127" w:type="dxa"/>
          </w:tcPr>
          <w:p w14:paraId="7FE114FB" w14:textId="31BBE49D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极端缺乏</w:t>
            </w:r>
          </w:p>
        </w:tc>
      </w:tr>
      <w:tr w:rsidR="00EC00E7" w:rsidRPr="00E80C33" w14:paraId="4A8EC92F" w14:textId="77777777" w:rsidTr="00E80C33">
        <w:tc>
          <w:tcPr>
            <w:tcW w:w="1559" w:type="dxa"/>
            <w:gridSpan w:val="2"/>
          </w:tcPr>
          <w:p w14:paraId="0E427347" w14:textId="37BF6378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短期利润</w:t>
            </w:r>
          </w:p>
        </w:tc>
        <w:tc>
          <w:tcPr>
            <w:tcW w:w="8505" w:type="dxa"/>
            <w:gridSpan w:val="4"/>
          </w:tcPr>
          <w:p w14:paraId="577300A9" w14:textId="6B73BDA3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超额利润、正常利润、亏损</w:t>
            </w:r>
          </w:p>
        </w:tc>
      </w:tr>
      <w:tr w:rsidR="00EC00E7" w:rsidRPr="00E80C33" w14:paraId="2D5A4603" w14:textId="77777777" w:rsidTr="00E80C33">
        <w:tc>
          <w:tcPr>
            <w:tcW w:w="1559" w:type="dxa"/>
            <w:gridSpan w:val="2"/>
          </w:tcPr>
          <w:p w14:paraId="4E9200E6" w14:textId="32C3CA8D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长期利润</w:t>
            </w:r>
          </w:p>
        </w:tc>
        <w:tc>
          <w:tcPr>
            <w:tcW w:w="2126" w:type="dxa"/>
          </w:tcPr>
          <w:p w14:paraId="52394EEC" w14:textId="03D725E2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正常利润</w:t>
            </w:r>
          </w:p>
        </w:tc>
        <w:tc>
          <w:tcPr>
            <w:tcW w:w="2126" w:type="dxa"/>
          </w:tcPr>
          <w:p w14:paraId="7B9585A1" w14:textId="3CC7162E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正常利润</w:t>
            </w:r>
          </w:p>
        </w:tc>
        <w:tc>
          <w:tcPr>
            <w:tcW w:w="2126" w:type="dxa"/>
          </w:tcPr>
          <w:p w14:paraId="32345FC9" w14:textId="341FF3C4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超额或正常</w:t>
            </w:r>
          </w:p>
        </w:tc>
        <w:tc>
          <w:tcPr>
            <w:tcW w:w="2127" w:type="dxa"/>
          </w:tcPr>
          <w:p w14:paraId="1E4B63E2" w14:textId="159A6592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超额或正常</w:t>
            </w:r>
          </w:p>
        </w:tc>
      </w:tr>
      <w:tr w:rsidR="00EC00E7" w:rsidRPr="00E80C33" w14:paraId="4EB97563" w14:textId="77777777" w:rsidTr="00E80C33">
        <w:tc>
          <w:tcPr>
            <w:tcW w:w="1559" w:type="dxa"/>
            <w:gridSpan w:val="2"/>
          </w:tcPr>
          <w:p w14:paraId="63E78D9D" w14:textId="1928BF67" w:rsidR="00EC00E7" w:rsidRPr="00E80C33" w:rsidRDefault="00EC00E7">
            <w:pPr>
              <w:rPr>
                <w:rStyle w:val="x1lliihq"/>
                <w:rFonts w:ascii="MiSans Normal" w:eastAsia="MiSans Normal" w:hAnsi="MiSans Normal" w:cs="PingFang TC"/>
                <w:b/>
                <w:bCs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b/>
                <w:bCs/>
                <w:sz w:val="20"/>
                <w:szCs w:val="20"/>
              </w:rPr>
              <w:t>实例</w:t>
            </w:r>
          </w:p>
        </w:tc>
        <w:tc>
          <w:tcPr>
            <w:tcW w:w="2126" w:type="dxa"/>
          </w:tcPr>
          <w:p w14:paraId="4530AF4E" w14:textId="50291A24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农产品</w:t>
            </w:r>
          </w:p>
        </w:tc>
        <w:tc>
          <w:tcPr>
            <w:tcW w:w="2126" w:type="dxa"/>
          </w:tcPr>
          <w:p w14:paraId="77C2130E" w14:textId="62006396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日常用品</w:t>
            </w:r>
          </w:p>
        </w:tc>
        <w:tc>
          <w:tcPr>
            <w:tcW w:w="2126" w:type="dxa"/>
          </w:tcPr>
          <w:p w14:paraId="6B620A7A" w14:textId="66DC2C47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报业、石油</w:t>
            </w:r>
          </w:p>
        </w:tc>
        <w:tc>
          <w:tcPr>
            <w:tcW w:w="2127" w:type="dxa"/>
          </w:tcPr>
          <w:p w14:paraId="2B38D70B" w14:textId="2F389911" w:rsidR="00EC00E7" w:rsidRPr="00E80C33" w:rsidRDefault="00EC00E7" w:rsidP="00EC00E7">
            <w:pPr>
              <w:jc w:val="center"/>
              <w:rPr>
                <w:rStyle w:val="x1lliihq"/>
                <w:rFonts w:ascii="MiSans Normal" w:eastAsia="MiSans Normal" w:hAnsi="MiSans Normal" w:cs="PingFang TC"/>
                <w:sz w:val="20"/>
                <w:szCs w:val="20"/>
              </w:rPr>
            </w:pPr>
            <w:r w:rsidRPr="00E80C33">
              <w:rPr>
                <w:rStyle w:val="x1lliihq"/>
                <w:rFonts w:ascii="MiSans Normal" w:eastAsia="MiSans Normal" w:hAnsi="MiSans Normal" w:cs="PingFang TC" w:hint="eastAsia"/>
                <w:sz w:val="20"/>
                <w:szCs w:val="20"/>
              </w:rPr>
              <w:t>自来水、电力</w:t>
            </w:r>
          </w:p>
        </w:tc>
      </w:tr>
    </w:tbl>
    <w:p w14:paraId="4883B6F2" w14:textId="77777777" w:rsidR="00EC00E7" w:rsidRPr="00E80C33" w:rsidRDefault="00EC00E7">
      <w:pPr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</w:p>
    <w:p w14:paraId="0F248F15" w14:textId="7E6E380C" w:rsidR="00EC00E7" w:rsidRPr="00E80C33" w:rsidRDefault="00EC00E7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>垄断厂商形成的原因</w:t>
      </w:r>
    </w:p>
    <w:p w14:paraId="2C4B08F8" w14:textId="21E285FF" w:rsidR="00EC00E7" w:rsidRPr="00E80C33" w:rsidRDefault="00EC00E7" w:rsidP="00E80C33">
      <w:pPr>
        <w:pStyle w:val="ListParagraph"/>
        <w:numPr>
          <w:ilvl w:val="0"/>
          <w:numId w:val="1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>经济因素</w:t>
      </w:r>
    </w:p>
    <w:p w14:paraId="234F9DF4" w14:textId="0FBAEA5C" w:rsidR="00EC00E7" w:rsidRPr="00E80C33" w:rsidRDefault="00EC00E7" w:rsidP="00E80C33">
      <w:pPr>
        <w:pStyle w:val="ListParagraph"/>
        <w:numPr>
          <w:ilvl w:val="0"/>
          <w:numId w:val="6"/>
        </w:numPr>
        <w:ind w:left="1134"/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 xml:space="preserve">自然垄断 </w:t>
      </w:r>
      <w:r w:rsidRPr="00E80C33"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  <w:t xml:space="preserve">/ </w:t>
      </w: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>庞大资金投资</w:t>
      </w:r>
    </w:p>
    <w:p w14:paraId="7EF9EDA3" w14:textId="29B8C550" w:rsidR="00EC00E7" w:rsidRPr="00E80C33" w:rsidRDefault="00EC00E7" w:rsidP="00E80C33">
      <w:pPr>
        <w:ind w:left="414" w:firstLine="720"/>
        <w:rPr>
          <w:rStyle w:val="x1lliihq"/>
          <w:rFonts w:ascii="MiSans Normal" w:eastAsia="MiSans Normal" w:hAnsi="MiSans Normal" w:cs="PingFang TC"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</w:rPr>
        <w:t>固定成本高，厂商生产量必须非常大，才能享有规模经济利益。</w:t>
      </w:r>
    </w:p>
    <w:p w14:paraId="642E86FA" w14:textId="04E35A04" w:rsidR="00274515" w:rsidRPr="00E80C33" w:rsidRDefault="00274515" w:rsidP="00E80C33">
      <w:pPr>
        <w:ind w:left="414" w:firstLine="720"/>
        <w:rPr>
          <w:rStyle w:val="x1lliihq"/>
          <w:rFonts w:ascii="MiSans Normal" w:eastAsia="MiSans Normal" w:hAnsi="MiSans Normal" w:cs="PingFang TC"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</w:rPr>
        <w:t>单一厂商“最是规模”的产量就足以应付整个市场的需求时，就会形成自然垄断。</w:t>
      </w:r>
    </w:p>
    <w:p w14:paraId="6A4815A2" w14:textId="12259E8E" w:rsidR="00274515" w:rsidRPr="00E80C33" w:rsidRDefault="00274515" w:rsidP="00E80C33">
      <w:pPr>
        <w:pStyle w:val="ListParagraph"/>
        <w:numPr>
          <w:ilvl w:val="0"/>
          <w:numId w:val="7"/>
        </w:numPr>
        <w:ind w:left="1134" w:hanging="338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 w:eastAsia="zh-TW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 xml:space="preserve">拥有自然资源 </w:t>
      </w:r>
      <w:r w:rsidRPr="00E80C33"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  <w:t xml:space="preserve">/ </w:t>
      </w: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关键技术</w:t>
      </w:r>
    </w:p>
    <w:p w14:paraId="40E05A46" w14:textId="30E45CA5" w:rsidR="00274515" w:rsidRPr="00E80C33" w:rsidRDefault="00274515" w:rsidP="00E80C33">
      <w:pPr>
        <w:pStyle w:val="ListParagraph"/>
        <w:ind w:left="1134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某地区蕴藏的自然资源的开采权只落在一家厂商手中，其他厂商因土地所有权的关系而无法参加生产。</w:t>
      </w:r>
    </w:p>
    <w:p w14:paraId="3996D7A2" w14:textId="0A9D2671" w:rsidR="00274515" w:rsidRPr="00E80C33" w:rsidRDefault="00EC00E7" w:rsidP="00E80C33">
      <w:pPr>
        <w:pStyle w:val="ListParagraph"/>
        <w:numPr>
          <w:ilvl w:val="0"/>
          <w:numId w:val="1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</w:rPr>
        <w:t>法律因素</w:t>
      </w:r>
    </w:p>
    <w:p w14:paraId="059F5A04" w14:textId="22BAEECC" w:rsidR="00274515" w:rsidRPr="00E80C33" w:rsidRDefault="00274515" w:rsidP="00E80C33">
      <w:pPr>
        <w:pStyle w:val="ListParagraph"/>
        <w:numPr>
          <w:ilvl w:val="0"/>
          <w:numId w:val="8"/>
        </w:numPr>
        <w:ind w:left="1134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 w:eastAsia="zh-TW"/>
        </w:rPr>
        <w:t>府制定特許</w:t>
      </w: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权</w:t>
      </w:r>
    </w:p>
    <w:p w14:paraId="1D6EA8DB" w14:textId="09C47001" w:rsidR="00274515" w:rsidRPr="00E80C33" w:rsidRDefault="00274515" w:rsidP="00E80C33">
      <w:pPr>
        <w:pStyle w:val="ListParagraph"/>
        <w:ind w:left="1134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政府制定法律特许某些工资或公营企业成为该市场的唯一供应商，主要为了增加财政收入和保护消费者利益。</w:t>
      </w:r>
    </w:p>
    <w:p w14:paraId="18EB7DCE" w14:textId="2AED4705" w:rsidR="00274515" w:rsidRPr="00E80C33" w:rsidRDefault="00274515" w:rsidP="00E80C33">
      <w:pPr>
        <w:pStyle w:val="ListParagraph"/>
        <w:numPr>
          <w:ilvl w:val="0"/>
          <w:numId w:val="9"/>
        </w:numPr>
        <w:ind w:left="1134" w:hanging="338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专利权</w:t>
      </w:r>
    </w:p>
    <w:p w14:paraId="088543C2" w14:textId="21438196" w:rsidR="00274515" w:rsidRPr="00E80C33" w:rsidRDefault="00274515" w:rsidP="00E80C33">
      <w:pPr>
        <w:pStyle w:val="ListParagraph"/>
        <w:ind w:left="1134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政府为了鼓励研究和发明，会给予厂商因发明某项新技术而享有的专利与版权，以保护他们的利益，厂商会因此在某一期间拥有独家的生产权而成为垄断厂商。</w:t>
      </w:r>
    </w:p>
    <w:p w14:paraId="640CB071" w14:textId="77777777" w:rsidR="00274515" w:rsidRPr="00E80C33" w:rsidRDefault="00274515" w:rsidP="00274515">
      <w:pPr>
        <w:pStyle w:val="ListParagraph"/>
        <w:ind w:left="1080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</w:p>
    <w:p w14:paraId="1624F5A0" w14:textId="77777777" w:rsidR="00E80C33" w:rsidRDefault="00E80C33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  <w:sectPr w:rsidR="00E80C33" w:rsidSect="00E80C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E67755" w14:textId="47E7DA31" w:rsidR="00274515" w:rsidRPr="00E80C33" w:rsidRDefault="00274515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垄断厂商的短期均衡</w:t>
      </w:r>
      <w:r w:rsidR="00E80C33"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 w:eastAsia="zh-TW"/>
        </w:rPr>
        <w:t>（</w:t>
      </w:r>
      <w:r w:rsidR="00E80C33"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不完全竞争市场的短期均衡</w:t>
      </w:r>
      <w:r w:rsidR="00E80C33"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 w:eastAsia="zh-TW"/>
        </w:rPr>
        <w:t>似乎差不多）</w:t>
      </w:r>
    </w:p>
    <w:p w14:paraId="00F03C71" w14:textId="5EBAF218" w:rsidR="00274515" w:rsidRPr="00E80C33" w:rsidRDefault="00274515" w:rsidP="00E80C33">
      <w:pPr>
        <w:pStyle w:val="ListParagraph"/>
        <w:numPr>
          <w:ilvl w:val="0"/>
          <w:numId w:val="10"/>
        </w:numPr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 xml:space="preserve">P </w:t>
      </w:r>
      <w:r w:rsidRPr="00E80C33"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t>&gt; AC</w:t>
      </w: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：超额利润</w:t>
      </w:r>
    </w:p>
    <w:p w14:paraId="0070D822" w14:textId="4169A084" w:rsidR="00274515" w:rsidRPr="00E80C33" w:rsidRDefault="00274515" w:rsidP="00E80C33">
      <w:pPr>
        <w:pStyle w:val="ListParagraph"/>
        <w:numPr>
          <w:ilvl w:val="0"/>
          <w:numId w:val="10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t>P = AC</w:t>
      </w: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：正常利润</w:t>
      </w:r>
    </w:p>
    <w:p w14:paraId="03DDC73A" w14:textId="25F6A322" w:rsidR="00274515" w:rsidRPr="00E80C33" w:rsidRDefault="00274515" w:rsidP="00E80C33">
      <w:pPr>
        <w:pStyle w:val="ListParagraph"/>
        <w:numPr>
          <w:ilvl w:val="0"/>
          <w:numId w:val="10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t>P &lt; AC</w:t>
      </w: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：</w:t>
      </w:r>
      <w:r w:rsidR="005B17C6"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亏损</w:t>
      </w:r>
    </w:p>
    <w:p w14:paraId="1865FDCF" w14:textId="250AB266" w:rsidR="005B17C6" w:rsidRPr="00E80C33" w:rsidRDefault="005B17C6" w:rsidP="00E80C33">
      <w:pPr>
        <w:pStyle w:val="ListParagraph"/>
        <w:numPr>
          <w:ilvl w:val="2"/>
          <w:numId w:val="10"/>
        </w:numPr>
        <w:ind w:left="1134" w:hanging="436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t>AVC &lt; P &lt; AC</w:t>
      </w: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：继续生产</w:t>
      </w:r>
    </w:p>
    <w:p w14:paraId="01A7E8FB" w14:textId="50430B85" w:rsidR="00E80C33" w:rsidRPr="00E80C33" w:rsidRDefault="005B17C6" w:rsidP="00E80C33">
      <w:pPr>
        <w:pStyle w:val="ListParagraph"/>
        <w:numPr>
          <w:ilvl w:val="2"/>
          <w:numId w:val="10"/>
        </w:numPr>
        <w:ind w:left="1134" w:hanging="436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t>P &lt; AVC</w:t>
      </w: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：停止生产</w:t>
      </w:r>
    </w:p>
    <w:p w14:paraId="0E68A61A" w14:textId="01D8AC58" w:rsidR="00E80C33" w:rsidRPr="00E80C33" w:rsidRDefault="00E80C33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市场失灵的原因</w:t>
      </w:r>
    </w:p>
    <w:p w14:paraId="5FB8DE3A" w14:textId="77777777" w:rsidR="00E80C33" w:rsidRPr="00E80C33" w:rsidRDefault="00E80C33" w:rsidP="00E80C33">
      <w:pPr>
        <w:pStyle w:val="ListParagraph"/>
        <w:numPr>
          <w:ilvl w:val="1"/>
          <w:numId w:val="5"/>
        </w:numPr>
        <w:ind w:left="709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社会部处于非完全竞争状态</w:t>
      </w:r>
    </w:p>
    <w:p w14:paraId="52324C68" w14:textId="77777777" w:rsidR="00E80C33" w:rsidRPr="00E80C33" w:rsidRDefault="00E80C33" w:rsidP="00E80C33">
      <w:pPr>
        <w:pStyle w:val="ListParagraph"/>
        <w:numPr>
          <w:ilvl w:val="1"/>
          <w:numId w:val="5"/>
        </w:numPr>
        <w:ind w:left="709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经济行为出现外部效果</w:t>
      </w:r>
    </w:p>
    <w:p w14:paraId="6EAA1CDA" w14:textId="77777777" w:rsidR="00E80C33" w:rsidRPr="00E80C33" w:rsidRDefault="00E80C33" w:rsidP="00E80C33">
      <w:pPr>
        <w:pStyle w:val="ListParagraph"/>
        <w:numPr>
          <w:ilvl w:val="1"/>
          <w:numId w:val="5"/>
        </w:numPr>
        <w:ind w:left="709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某些物品不能透过市场提供（公共财等）</w:t>
      </w:r>
    </w:p>
    <w:p w14:paraId="6858BC64" w14:textId="2E654F42" w:rsidR="00E80C33" w:rsidRPr="00E80C33" w:rsidRDefault="00E80C33" w:rsidP="00E80C33">
      <w:pPr>
        <w:pStyle w:val="ListParagraph"/>
        <w:numPr>
          <w:ilvl w:val="1"/>
          <w:numId w:val="5"/>
        </w:numPr>
        <w:ind w:left="709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信息不对称</w:t>
      </w:r>
      <w:r w:rsidR="00A06380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（买卖双方所掌握的信息不对称）</w:t>
      </w:r>
    </w:p>
    <w:p w14:paraId="3A18BE23" w14:textId="77777777" w:rsidR="00E80C33" w:rsidRDefault="00E80C33" w:rsidP="005B17C6">
      <w:pPr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</w:p>
    <w:p w14:paraId="4581CD8A" w14:textId="77777777" w:rsidR="00E80C33" w:rsidRDefault="00E80C33" w:rsidP="005B17C6">
      <w:pPr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</w:p>
    <w:p w14:paraId="22EFB14D" w14:textId="77777777" w:rsidR="00E80C33" w:rsidRDefault="00E80C33" w:rsidP="005B17C6">
      <w:pPr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  <w:sectPr w:rsidR="00E80C33" w:rsidSect="00E80C3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1B81530" w14:textId="77777777" w:rsidR="00E80C33" w:rsidRPr="00E80C33" w:rsidRDefault="00E80C33" w:rsidP="005B17C6">
      <w:pPr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</w:p>
    <w:p w14:paraId="409A6013" w14:textId="0C97052F" w:rsidR="005B17C6" w:rsidRPr="00E80C33" w:rsidRDefault="005B17C6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垄断性竞争厂商的长期均衡</w:t>
      </w:r>
    </w:p>
    <w:p w14:paraId="6F8CC4FA" w14:textId="0C665095" w:rsidR="005B17C6" w:rsidRPr="00E80C33" w:rsidRDefault="005B17C6" w:rsidP="00E80C33">
      <w:pPr>
        <w:ind w:left="360"/>
        <w:rPr>
          <w:rStyle w:val="x1lliihq"/>
          <w:rFonts w:ascii="MiSans Normal" w:eastAsia="MiSans Normal" w:hAnsi="MiSans Normal" w:cs="PingFang TC"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垄断性竞争市场的厂商可以毫无障碍进出市场，若厂商出现超额利润，将吸引新厂商加入，瓜分原有厂商的市场，使各厂商的市场占有率减少，厂商的利润将逐渐减少至正常利润。因此，垄断性竞争市场的厂商无法享有超额利润，而只有正常利润。相反，当厂商出现亏损，厂商就会退出市场，使原有厂商数目减少，各厂商市占率提升，长久而言厂商将享有正常利润。</w:t>
      </w:r>
    </w:p>
    <w:p w14:paraId="11F72E3E" w14:textId="77777777" w:rsidR="005B17C6" w:rsidRPr="00E80C33" w:rsidRDefault="005B17C6" w:rsidP="005B17C6">
      <w:p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</w:p>
    <w:p w14:paraId="1FB9A211" w14:textId="61D6EF34" w:rsidR="005B17C6" w:rsidRPr="00E80C33" w:rsidRDefault="005B17C6" w:rsidP="00E80C33">
      <w:pPr>
        <w:pStyle w:val="ListParagraph"/>
        <w:numPr>
          <w:ilvl w:val="0"/>
          <w:numId w:val="5"/>
        </w:numPr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b/>
          <w:bCs/>
          <w:sz w:val="20"/>
          <w:szCs w:val="20"/>
          <w:lang w:val="en-US"/>
        </w:rPr>
        <w:t>垄断市场与社会福利</w:t>
      </w:r>
    </w:p>
    <w:p w14:paraId="0BC0584D" w14:textId="4572573B" w:rsidR="00E80C33" w:rsidRPr="00E80C33" w:rsidRDefault="005B17C6" w:rsidP="00E80C33">
      <w:pPr>
        <w:ind w:left="360"/>
        <w:rPr>
          <w:rStyle w:val="x1lliihq"/>
          <w:rFonts w:ascii="MiSans Normal" w:eastAsia="MiSans Normal" w:hAnsi="MiSans Normal" w:cs="PingFang TC"/>
          <w:b/>
          <w:bCs/>
          <w:sz w:val="20"/>
          <w:szCs w:val="20"/>
          <w:lang w:val="en-US"/>
        </w:rPr>
      </w:pPr>
      <w:r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垄断市场中，原本属于消费者的</w:t>
      </w:r>
      <w:r w:rsidR="00E80C33" w:rsidRPr="00E80C33">
        <w:rPr>
          <w:rStyle w:val="x1lliihq"/>
          <w:rFonts w:ascii="MiSans Normal" w:eastAsia="MiSans Normal" w:hAnsi="MiSans Normal" w:cs="PingFang TC" w:hint="eastAsia"/>
          <w:sz w:val="20"/>
          <w:szCs w:val="20"/>
          <w:lang w:val="en-US"/>
        </w:rPr>
        <w:t>消费者剩余由垄断厂商取得，垄断厂商的生产者剩余增加，但有一部分剩余既没有转移到消费者手中，也没有转移到生产者手中，这部分损失减少了社会应存在的社会福利，造成无谓损失。</w:t>
      </w:r>
    </w:p>
    <w:sectPr w:rsidR="00E80C33" w:rsidRPr="00E80C33" w:rsidSect="00E80C3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612A"/>
    <w:multiLevelType w:val="hybridMultilevel"/>
    <w:tmpl w:val="3C34EB58"/>
    <w:lvl w:ilvl="0" w:tplc="10A4C390">
      <w:start w:val="1"/>
      <w:numFmt w:val="lowerLetter"/>
      <w:lvlText w:val="%1."/>
      <w:lvlJc w:val="left"/>
      <w:pPr>
        <w:ind w:left="720" w:hanging="360"/>
      </w:pPr>
      <w:rPr>
        <w:rFonts w:ascii="MiSans Normal" w:eastAsia="MiSans Normal" w:hAnsi="MiSans Normal" w:cs="PingFang TC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80EF6"/>
    <w:multiLevelType w:val="hybridMultilevel"/>
    <w:tmpl w:val="761C90EC"/>
    <w:lvl w:ilvl="0" w:tplc="105E6306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46E59"/>
    <w:multiLevelType w:val="hybridMultilevel"/>
    <w:tmpl w:val="7A16FC42"/>
    <w:lvl w:ilvl="0" w:tplc="06347824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45017"/>
    <w:multiLevelType w:val="hybridMultilevel"/>
    <w:tmpl w:val="0240C9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90E39"/>
    <w:multiLevelType w:val="hybridMultilevel"/>
    <w:tmpl w:val="EA52C90A"/>
    <w:lvl w:ilvl="0" w:tplc="7048D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9151C7"/>
    <w:multiLevelType w:val="hybridMultilevel"/>
    <w:tmpl w:val="8EFE4308"/>
    <w:lvl w:ilvl="0" w:tplc="B128EA5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4B37B9"/>
    <w:multiLevelType w:val="hybridMultilevel"/>
    <w:tmpl w:val="461050A0"/>
    <w:lvl w:ilvl="0" w:tplc="1EBA225A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00B4C08"/>
    <w:multiLevelType w:val="hybridMultilevel"/>
    <w:tmpl w:val="E9588A8A"/>
    <w:lvl w:ilvl="0" w:tplc="33C8E0E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66042036">
      <w:start w:val="1"/>
      <w:numFmt w:val="lowerRoman"/>
      <w:lvlText w:val="%3．"/>
      <w:lvlJc w:val="left"/>
      <w:pPr>
        <w:ind w:left="2700" w:hanging="720"/>
      </w:pPr>
      <w:rPr>
        <w:rFonts w:hint="default"/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00449"/>
    <w:multiLevelType w:val="hybridMultilevel"/>
    <w:tmpl w:val="A56A6EE6"/>
    <w:lvl w:ilvl="0" w:tplc="C9D6B984">
      <w:start w:val="2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480FEF"/>
    <w:multiLevelType w:val="hybridMultilevel"/>
    <w:tmpl w:val="AEFEF9B0"/>
    <w:lvl w:ilvl="0" w:tplc="6C2AE0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6328001">
    <w:abstractNumId w:val="0"/>
  </w:num>
  <w:num w:numId="2" w16cid:durableId="1959070849">
    <w:abstractNumId w:val="9"/>
  </w:num>
  <w:num w:numId="3" w16cid:durableId="545264433">
    <w:abstractNumId w:val="3"/>
  </w:num>
  <w:num w:numId="4" w16cid:durableId="547493516">
    <w:abstractNumId w:val="4"/>
  </w:num>
  <w:num w:numId="5" w16cid:durableId="1815100064">
    <w:abstractNumId w:val="5"/>
  </w:num>
  <w:num w:numId="6" w16cid:durableId="1595091376">
    <w:abstractNumId w:val="6"/>
  </w:num>
  <w:num w:numId="7" w16cid:durableId="1862746402">
    <w:abstractNumId w:val="8"/>
  </w:num>
  <w:num w:numId="8" w16cid:durableId="1000306021">
    <w:abstractNumId w:val="2"/>
  </w:num>
  <w:num w:numId="9" w16cid:durableId="1961564688">
    <w:abstractNumId w:val="1"/>
  </w:num>
  <w:num w:numId="10" w16cid:durableId="1751733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E7"/>
    <w:rsid w:val="00140178"/>
    <w:rsid w:val="00274515"/>
    <w:rsid w:val="005B17C6"/>
    <w:rsid w:val="008C02CC"/>
    <w:rsid w:val="00A06380"/>
    <w:rsid w:val="00A921C9"/>
    <w:rsid w:val="00AE33DF"/>
    <w:rsid w:val="00E80C33"/>
    <w:rsid w:val="00EB491B"/>
    <w:rsid w:val="00EC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1075"/>
  <w15:chartTrackingRefBased/>
  <w15:docId w15:val="{0C06B273-69B7-5E48-B972-0E3DAC0A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EC00E7"/>
  </w:style>
  <w:style w:type="table" w:styleId="TableGrid">
    <w:name w:val="Table Grid"/>
    <w:basedOn w:val="TableNormal"/>
    <w:uiPriority w:val="39"/>
    <w:rsid w:val="00EC0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2023-11-14T08:33:00Z</dcterms:created>
  <dcterms:modified xsi:type="dcterms:W3CDTF">2023-11-14T14:59:00Z</dcterms:modified>
</cp:coreProperties>
</file>