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The Conscious Orbit</w:t>
      </w:r>
    </w:p>
    <w:p>
      <w:pPr>
        <w:jc w:val="center"/>
      </w:pPr>
      <w:r>
        <w:rPr>
          <w:i/>
          <w:color w:val="555555"/>
          <w:sz w:val="26"/>
        </w:rPr>
        <w:t>A Venture Intelligence Workspace</w:t>
      </w:r>
    </w:p>
    <w:p>
      <w:pPr>
        <w:jc w:val="center"/>
      </w:pPr>
      <w:r>
        <w:rPr>
          <w:b/>
          <w:color w:val="B88A1A"/>
          <w:sz w:val="24"/>
        </w:rPr>
        <w:t>Every great idea deserves a verdict backed by evidence — not enthusiasm.</w:t>
      </w:r>
    </w:p>
    <w:p/>
    <w:p>
      <w:pPr>
        <w:spacing w:before="320"/>
      </w:pPr>
      <w:r>
        <w:rPr>
          <w:b/>
          <w:color w:val="B88A1A"/>
          <w:sz w:val="26"/>
        </w:rPr>
        <w:t>THE PROBLEM</w:t>
      </w:r>
    </w:p>
    <w:p>
      <w:pPr>
        <w:spacing w:after="120"/>
      </w:pPr>
      <w:r>
        <w:t>Nine out of ten startups fail, and most of them fail for reasons that were knowable on day one: no real market, wrong pricing, a business model that never added up. Yet the tools founders use to validate ideas are either expensive consulting engagements or gut-feel spreadsheets. There is no accessible system that takes a raw business idea and subjects it to the same disciplined, multi-angle scrutiny an investment committee would.</w:t>
      </w:r>
    </w:p>
    <w:p>
      <w:pPr>
        <w:spacing w:before="320"/>
      </w:pPr>
      <w:r>
        <w:rPr>
          <w:b/>
          <w:color w:val="B88A1A"/>
          <w:sz w:val="26"/>
        </w:rPr>
        <w:t>OUR SOLUTION</w:t>
      </w:r>
    </w:p>
    <w:p>
      <w:pPr>
        <w:spacing w:after="120"/>
      </w:pPr>
      <w:r>
        <w:t>The Conscious Orbit is a full-stack platform that puts every venture through an investment-committee-grade evaluation. A founder describes their idea once through a guided three-layer intake. The platform then runs it through ten analytical engines — from customer discovery and TAM/SAM/SOM market sizing to pricing, feasibility and go-to-market readiness — each producing a transparent 0–100 score. An AI assessor audits the results, and a human administrator delivers the final verdict: GO or PIVOT. The founder receives a complete, board-ready strategy report — on screen, as a Word document, and in their inbox.</w:t>
      </w:r>
    </w:p>
    <w:p>
      <w:pPr>
        <w:spacing w:before="320"/>
      </w:pPr>
      <w:r>
        <w:rPr>
          <w:b/>
          <w:color w:val="B88A1A"/>
          <w:sz w:val="26"/>
        </w:rPr>
        <w:t>WHAT MAKES IT DIFFERENT</w:t>
      </w:r>
    </w:p>
    <w:p>
      <w:pPr>
        <w:pStyle w:val="ListBullet"/>
      </w:pPr>
      <w:r>
        <w:rPr>
          <w:b/>
        </w:rPr>
        <w:t xml:space="preserve">AI recommends, humans decide — </w:t>
      </w:r>
      <w:r>
        <w:t>The platform enforces a gated five-stage pipeline (RECEIVED → PENDING → PROCESSED → REVIEWING → PUBLISHED). A report physically cannot advance until every analysis for its stage has run — rigor is built into the architecture, not left to discipline.</w:t>
      </w:r>
    </w:p>
    <w:p>
      <w:pPr>
        <w:pStyle w:val="ListBullet"/>
      </w:pPr>
      <w:r>
        <w:rPr>
          <w:b/>
        </w:rPr>
        <w:t xml:space="preserve">Evidence over enthusiasm — </w:t>
      </w:r>
      <w:r>
        <w:t>Our AI assessor separates what a founder has PROVEN from what they merely CLAIM. Its confidence rating reflects the quality of the evidence, not the attractiveness of the idea — and it is architecturally barred from publishing a verdict on its own.</w:t>
      </w:r>
    </w:p>
    <w:p>
      <w:pPr>
        <w:pStyle w:val="ListBullet"/>
      </w:pPr>
      <w:r>
        <w:rPr>
          <w:b/>
        </w:rPr>
        <w:t xml:space="preserve">Self-explaining scores — </w:t>
      </w:r>
      <w:r>
        <w:t>The Indian Brand Equity module scores five Aaker brand pillars, but every self-reported claim is capped by the evidence that would have to exist for it to be true. A brand claiming perfection with zero traction scores 36; the same claims backed by real numbers score 100. The system then tells the founder exactly which number would lift each cap — the score explains itself.</w:t>
      </w:r>
    </w:p>
    <w:p>
      <w:pPr>
        <w:pStyle w:val="ListBullet"/>
      </w:pPr>
      <w:r>
        <w:rPr>
          <w:b/>
        </w:rPr>
        <w:t xml:space="preserve">Never fails, always degrades — </w:t>
      </w:r>
      <w:r>
        <w:t>Remove the AI key and heuristics take over. Remove the mail server and reports are composed and logged. Remove the backend entirely and the frontend falls back to a built-in simulation. Nothing ever shows a blank screen.</w:t>
      </w:r>
    </w:p>
    <w:p>
      <w:pPr>
        <w:spacing w:before="320"/>
      </w:pPr>
      <w:r>
        <w:rPr>
          <w:b/>
          <w:color w:val="B88A1A"/>
          <w:sz w:val="26"/>
        </w:rPr>
        <w:t>HOW IT WORKS</w:t>
      </w:r>
    </w:p>
    <w:p>
      <w:pPr>
        <w:spacing w:after="120"/>
      </w:pPr>
      <w:r>
        <w:t>Two portals, one pipeline. The client portal lets founders submit intakes, upload supporting documents, track their report's live pipeline stage, assess their brand equity, and raise queries. The admin console lets the evaluator run the ten modules, read the AI's five-dimension recommendation (market opportunity, customer evidence, business model, competitive position, execution readiness), and publish the final scored verdict — which is automatically rendered as a formatted .docx and emailed to the client.</w:t>
      </w:r>
    </w:p>
    <w:p>
      <w:pPr>
        <w:spacing w:before="320"/>
      </w:pPr>
      <w:r>
        <w:rPr>
          <w:b/>
          <w:color w:val="B88A1A"/>
          <w:sz w:val="26"/>
        </w:rPr>
        <w:t>TECHNOLOGY</w:t>
      </w:r>
    </w:p>
    <w:p>
      <w:pPr>
        <w:pStyle w:val="ListBullet"/>
      </w:pPr>
      <w:r>
        <w:rPr>
          <w:b/>
        </w:rPr>
        <w:t xml:space="preserve">Frontend — </w:t>
      </w:r>
      <w:r>
        <w:t>React 19 with Vite, Tailwind CSS v4, framer-motion animation and WebGL shader backgrounds for a premium, product-grade interface.</w:t>
      </w:r>
    </w:p>
    <w:p>
      <w:pPr>
        <w:pStyle w:val="ListBullet"/>
      </w:pPr>
      <w:r>
        <w:rPr>
          <w:b/>
        </w:rPr>
        <w:t xml:space="preserve">Backend — </w:t>
      </w:r>
      <w:r>
        <w:t>Python FastAPI with SQLAlchemy; PostgreSQL with automatic SQLite fallback, so the entire system runs on any machine with zero database setup.</w:t>
      </w:r>
    </w:p>
    <w:p>
      <w:pPr>
        <w:pStyle w:val="ListBullet"/>
      </w:pPr>
      <w:r>
        <w:rPr>
          <w:b/>
        </w:rPr>
        <w:t xml:space="preserve">AI &amp; Integrations — </w:t>
      </w:r>
      <w:r>
        <w:t>Google Gemini drives the AI assessment and decision engine over plain REST; SMTP delivers reports; SpyFu supplies competitor intelligence.</w:t>
      </w:r>
    </w:p>
    <w:p>
      <w:pPr>
        <w:pStyle w:val="ListBullet"/>
      </w:pPr>
      <w:r>
        <w:rPr>
          <w:b/>
        </w:rPr>
        <w:t xml:space="preserve">Security — </w:t>
      </w:r>
      <w:r>
        <w:t>PBKDF2 password hashing and HMAC-signed tokens built entirely from the Python standard library. Identity always comes from the token — a client can never see another client's reports, documents or queries.</w:t>
      </w:r>
    </w:p>
    <w:p>
      <w:pPr>
        <w:spacing w:before="320"/>
      </w:pPr>
      <w:r>
        <w:rPr>
          <w:b/>
          <w:color w:val="B88A1A"/>
          <w:sz w:val="26"/>
        </w:rPr>
        <w:t>IMPACT &amp; FUTURE SCOPE</w:t>
      </w:r>
    </w:p>
    <w:p>
      <w:pPr>
        <w:spacing w:after="120"/>
      </w:pPr>
      <w:r>
        <w:t>The Conscious Orbit turns venture validation from an expensive privilege into an accessible discipline — a founder anywhere can get a rigorous, evidence-graded answer to "should I build this?" before spending a rupee. The architecture is ready to grow: richer competitor data sources, multi-evaluator review panels, portfolio-level analytics across ventures, and regional brand-equity models beyond India are all natural next steps on the same gated pipeline.</w:t>
      </w:r>
    </w:p>
    <w:p>
      <w:pPr>
        <w:spacing w:before="320"/>
      </w:pPr>
      <w:r>
        <w:rPr>
          <w:b/>
          <w:color w:val="B88A1A"/>
          <w:sz w:val="26"/>
        </w:rPr>
        <w:t>CONCLUSION</w:t>
      </w:r>
    </w:p>
    <w:p>
      <w:pPr>
        <w:spacing w:after="120"/>
      </w:pPr>
      <w:r>
        <w:t>Most tools tell founders what they want to hear. The Conscious Orbit is built to tell them what they need to know — with the evidence to back it, the transparency to trust it, and a human making the final call.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