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When it comes to “Smash the Stack”, what are stack canaries? Give a definition and an example.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Answer </w:t>
      </w:r>
      <w:r>
        <w:rPr>
          <w:b/>
          <w:bCs/>
          <w:u w:val="single"/>
        </w:rPr>
        <w:t>#1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Canaries </w:t>
      </w:r>
      <w:r>
        <w:rPr>
          <w:b w:val="false"/>
          <w:bCs w:val="false"/>
        </w:rPr>
        <w:t>(also called security cookies, an analogy to the harbinger canary birds used in coal mines)</w:t>
      </w:r>
      <w:r>
        <w:rPr>
          <w:b w:val="false"/>
          <w:bCs w:val="false"/>
        </w:rPr>
        <w:t xml:space="preserve"> are secret value</w:t>
      </w:r>
      <w:r>
        <w:rPr>
          <w:b w:val="false"/>
          <w:bCs w:val="false"/>
        </w:rPr>
        <w:t>s added to binaries during compilation to protect critical stack values like the Return Pointer against buffer overflow attacks.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They detect stack buffer overflows to prevent the execution of possibly malicious code by placing the secret value </w:t>
      </w:r>
      <w:r>
        <w:rPr>
          <w:b w:val="false"/>
          <w:bCs w:val="false"/>
        </w:rPr>
        <w:t>on the stack which changes every time the program is started. Prior to a function return, the stack canary is checked and if it appears to be modified, the program exits immediately.</w:t>
      </w:r>
    </w:p>
    <w:p>
      <w:pPr>
        <w:pStyle w:val="Normal"/>
        <w:rPr/>
      </w:pPr>
      <w:r>
        <w:rPr>
          <w:b w:val="false"/>
          <w:bCs w:val="false"/>
        </w:rPr>
        <w:t xml:space="preserve">Stack canaries </w:t>
      </w:r>
      <w:r>
        <w:rPr>
          <w:b w:val="false"/>
          <w:bCs w:val="false"/>
        </w:rPr>
        <w:t xml:space="preserve">make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exploitation of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>“Smash the Stack” vulnerabilit</w:t>
      </w:r>
      <w:r>
        <w:rPr>
          <w:b w:val="false"/>
          <w:bCs w:val="false"/>
        </w:rPr>
        <w:t xml:space="preserve">y </w:t>
      </w:r>
      <w:r>
        <w:rPr>
          <w:b w:val="false"/>
          <w:bCs w:val="false"/>
        </w:rPr>
        <w:t xml:space="preserve">more difficult,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ut not impossible.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Example:</w:t>
      </w:r>
    </w:p>
    <w:p>
      <w:pPr>
        <w:pStyle w:val="Normal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</w:rPr>
        <w:t xml:space="preserve"> </w:t>
      </w:r>
    </w:p>
    <w:tbl>
      <w:tblPr>
        <w:tblW w:w="9360" w:type="dxa"/>
        <w:jc w:val="left"/>
        <w:tblInd w:w="0" w:type="dxa"/>
        <w:tblCellMar>
          <w:top w:w="28" w:type="dxa"/>
          <w:left w:w="283" w:type="dxa"/>
          <w:bottom w:w="28" w:type="dxa"/>
          <w:right w:w="283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Assembly without Canary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Assembly with Canary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&lt;inside askUser function&gt;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&lt;inside askUser function&gt;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0x080485d9 mov eax, &lt;canary&gt;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0x080485dc xor eax, &lt;right canary val&gt;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0x080485e3 je 0x080485ea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0x080485e5 call &lt;__stack_chk_fail@plt&gt;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0x0804856e leave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0x0804856e leave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0x0804856f ret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0x0804856f ret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 w:val="false"/>
          <w:bCs w:val="false"/>
        </w:rPr>
        <w:drawing>
          <wp:inline distT="0" distB="0" distL="0" distR="0">
            <wp:extent cx="5943600" cy="3860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4"/>
          <w:szCs w:val="4"/>
          <w:u w:val="none"/>
        </w:rPr>
      </w:pPr>
      <w:r>
        <w:rPr>
          <w:b/>
          <w:bCs/>
          <w:sz w:val="4"/>
          <w:szCs w:val="4"/>
          <w:u w:val="none"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u w:val="single"/>
        </w:rPr>
        <w:t>Note</w:t>
      </w:r>
      <w:r>
        <w:rPr>
          <w:b w:val="false"/>
          <w:bCs w:val="false"/>
        </w:rPr>
        <w:t xml:space="preserve"> here that two distinct executions of the same program yields different stack canary values (in orange), preceding their respective return function pointers (in yellow).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</w:rPr>
        <w:drawing>
          <wp:inline distT="0" distB="0" distL="0" distR="0">
            <wp:extent cx="5943600" cy="26485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4"/>
          <w:szCs w:val="4"/>
        </w:rPr>
      </w:pPr>
      <w:r>
        <w:rPr>
          <w:b w:val="false"/>
          <w:bCs w:val="false"/>
          <w:sz w:val="4"/>
          <w:szCs w:val="4"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u w:val="single"/>
        </w:rPr>
        <w:t>Note</w:t>
      </w:r>
      <w:r>
        <w:rPr>
          <w:b w:val="false"/>
          <w:bCs w:val="false"/>
        </w:rPr>
        <w:t xml:space="preserve"> here that stack canaries can also be 64-bits (quad-words) in values, which exponentially increases the permutations required for a brute force attack.</w:t>
      </w:r>
      <w:r>
        <w:br w:type="page"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following code contains errors that could be exploited. How would you fix it?</w:t>
      </w:r>
    </w:p>
    <w:p>
      <w:pPr>
        <w:pStyle w:val="Normal"/>
        <w:rPr>
          <w:sz w:val="4"/>
          <w:szCs w:val="4"/>
        </w:rPr>
      </w:pPr>
      <w:r>
        <w:rPr>
          <w:b/>
          <w:bCs/>
          <w:sz w:val="4"/>
          <w:szCs w:val="4"/>
        </w:rPr>
        <w:t xml:space="preserve">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hashOut.data = hashes + SSL_MD5_DIGEST_LEN;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hashOut.length = SSL_SHA1_DIGEST_LEN;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SSLFreeBuffer(&amp;hashCtx))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ReadyHash(&amp;SSLHashSHA1, &amp;hashCtx))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SSLHashSHA1.update(&amp;hashCtx, &amp;clientRandom))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SSLHashSHA1.update(&amp;hashCtx, &amp;serverRandom))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SSLHashSHA1.update(&amp;hashCtx, &amp;signedParams))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goto fail;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if ((err = SSLHashSHA1.final(&amp;hashCtx, &amp;hashOut))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</w:rPr>
        <w:t>err = sslRawVerify(...);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Answer </w:t>
      </w:r>
      <w:r>
        <w:rPr>
          <w:b/>
          <w:bCs/>
          <w:u w:val="single"/>
        </w:rPr>
        <w:t>#2</w:t>
      </w:r>
    </w:p>
    <w:p>
      <w:pPr>
        <w:pStyle w:val="Normal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error in the above code is fixed by discarding the duplicate </w:t>
      </w:r>
      <w:r>
        <w:rPr>
          <w:b/>
          <w:bCs/>
        </w:rPr>
        <w:t>‘ goto fail; ’</w:t>
      </w:r>
      <w:r>
        <w:rPr>
          <w:b w:val="false"/>
          <w:bCs w:val="false"/>
        </w:rPr>
        <w:t xml:space="preserve"> line of code present in line number 13.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could you catch this error in the future?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Answer </w:t>
      </w:r>
      <w:r>
        <w:rPr>
          <w:b/>
          <w:bCs/>
          <w:u w:val="single"/>
        </w:rPr>
        <w:t>#3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avoid this error in the future, the user could: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avoid insecure networks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a web filtering product that can scan HTTPS traffic (for example, Sophos UTM)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switch to an alternative web browser (for example, Firefox or Chromium)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error could be caught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through negative testing in test cases (via dynamic analysis)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through coverage analysis (via CI/CD tools)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properly detecting and checking unreachable code (by setting warning flags, via static analysis)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performing a duplicate lines detection (via static code analysis)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performing a manual code review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implementing the use of braces in conditions and loops (during development)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avoiding misleading indentation (during development)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setting the default value for the error code (0) as ‘access failure’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Heartbleed bug could be traced to a single line of code. What was that line of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Answer </w:t>
      </w:r>
      <w:r>
        <w:rPr>
          <w:b/>
          <w:bCs/>
          <w:u w:val="single"/>
        </w:rPr>
        <w:t>#4</w:t>
      </w:r>
    </w:p>
    <w:p>
      <w:pPr>
        <w:pStyle w:val="Normal"/>
        <w:rPr>
          <w:b w:val="false"/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</w:rPr>
        <w:t xml:space="preserve"> </w:t>
      </w:r>
    </w:p>
    <w:p>
      <w:pPr>
        <w:pStyle w:val="Normal"/>
        <w:rPr/>
      </w:pPr>
      <w:r>
        <w:rPr/>
        <w:t xml:space="preserve">The </w:t>
      </w:r>
      <w:r>
        <w:rPr/>
        <w:t xml:space="preserve">following line of code </w:t>
      </w:r>
      <w:r>
        <w:rPr/>
        <w:t xml:space="preserve">caused </w:t>
      </w:r>
      <w:r>
        <w:rPr/>
        <w:t xml:space="preserve">the </w:t>
      </w:r>
      <w:r>
        <w:rPr/>
        <w:t xml:space="preserve">Heartbleed </w:t>
      </w:r>
      <w:r>
        <w:rPr/>
        <w:t>bug: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671820" cy="427355"/>
                <wp:effectExtent l="0" t="0" r="0" b="0"/>
                <wp:docPr id="3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080" cy="426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18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1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Liberation Serif" w:hAnsi="Liberation Serif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 w:val="false"/>
                                <w:bCs w:val="false"/>
                                <w:rFonts w:ascii="Calibri" w:hAnsi="Calibri"/>
                              </w:rPr>
                              <w:t>memcpy (bp, pl, payload);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1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9000" rIns="9000" tIns="9000" bIns="900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_5" fillcolor="#dddddd" stroked="t" style="position:absolute;margin-left:0pt;margin-top:-8.8pt;width:446.5pt;height:33.5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18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180"/>
                        <w:rPr/>
                      </w:pPr>
                      <w:r>
                        <w:rPr>
                          <w:sz w:val="22"/>
                          <w:szCs w:val="22"/>
                          <w:rFonts w:ascii="Liberation Serif" w:hAnsi="Liberation Serif"/>
                        </w:rPr>
                      </w:r>
                      <w:r>
                        <w:rPr>
                          <w:sz w:val="22"/>
                          <w:szCs w:val="22"/>
                          <w:b w:val="false"/>
                          <w:bCs w:val="false"/>
                          <w:rFonts w:ascii="Calibri" w:hAnsi="Calibri"/>
                        </w:rPr>
                        <w:t>memcpy (bp, pl, payload);</w:t>
                      </w:r>
                    </w:p>
                    <w:p>
                      <w:pPr>
                        <w:overflowPunct w:val="false"/>
                        <w:spacing w:before="0" w:after="0" w:lineRule="auto" w:line="18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222222"/>
                <v:stroke color="black" weight="17640" joinstyle="round" endcap="flat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1440" w:bottom="26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rPr/>
    </w:pPr>
    <w:r>
      <w:rPr/>
    </w:r>
  </w:p>
  <w:p>
    <w:pPr>
      <w:pStyle w:val="Footer"/>
      <w:spacing w:before="0" w:after="160"/>
      <w:rPr>
        <w:i/>
        <w:i/>
        <w:iCs/>
        <w:sz w:val="21"/>
        <w:szCs w:val="21"/>
      </w:rPr>
    </w:pPr>
    <w:r>
      <w:rPr>
        <w:i/>
        <w:iCs/>
        <w:sz w:val="21"/>
        <w:szCs w:val="21"/>
      </w:rPr>
      <w:t>Copyright 2021 Melwyn Francis Carlo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5fda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5f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5f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5c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LibreOffice/6.4.7.2$Linux_X86_64 LibreOffice_project/40$Build-2</Application>
  <Pages>6</Pages>
  <Words>496</Words>
  <Characters>2719</Characters>
  <CharactersWithSpaces>3200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2021-04-29T11:55:00Z</dcterms:created>
  <dc:creator>Julia Glen</dc:creator>
  <dc:description/>
  <dc:language>en-IN</dc:language>
  <cp:lastModifiedBy/>
  <dcterms:modified xsi:type="dcterms:W3CDTF">2021-12-11T22:24:25Z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