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atp choline,  supplying the inflammatory/xenobiotic/allergy linked cdp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Phosphoethanolamine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CDP Choline pathway upregulation of the Unfolded Protein Response, emerges at choline kinase alpha but includes other endoplasmic reticulum and Golgi apparatus components to determine cellular outcome, and is an important context for choline kinase inhibitor influencing of CHOP to determine cellular outcomes. AP1 and SP1 upregulated particular enzymes in the CDP Choline pathway, such as Citidylylcholine Phosphotransferase, hallway through the CDP choline pathway, while aSMase/aSMase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Bax and potentiate massive apoptosis of among cellular entities.  This massive potential for apoptosis results in upregulation of homocysteine and may be constituted of upregulation of homocysteine which upregulates Bax, Bak,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Trimethylglycine, Folate, trimethylsulfonium,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parthanatos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“Deoxyriboside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and also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s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parthanotos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Agrin in determining monocyte, circulating, blood, tissue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actually be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exiting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ATP,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sulfur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monocysteine utilized in this compendium of research to decrease the detrimental effect of merely presenting the </w:t>
      </w:r>
      <w:r w:rsidR="009F0C23" w:rsidRPr="00B126C5">
        <w:rPr>
          <w:rFonts w:ascii="Times New Roman" w:hAnsi="Times New Roman" w:cs="Times New Roman"/>
          <w:color w:val="000000" w:themeColor="text1"/>
          <w:sz w:val="24"/>
          <w:szCs w:val="24"/>
        </w:rPr>
        <w:t xml:space="preserve">Hcy or eHcy. </w:t>
      </w:r>
      <w:r w:rsidRPr="00B126C5">
        <w:rPr>
          <w:rFonts w:ascii="Times New Roman" w:hAnsi="Times New Roman" w:cs="Times New Roman"/>
          <w:color w:val="000000" w:themeColor="text1"/>
          <w:sz w:val="24"/>
          <w:szCs w:val="24"/>
        </w:rPr>
        <w:t xml:space="preserve"> </w:t>
      </w:r>
      <w:r w:rsidR="009F0C23" w:rsidRPr="00B126C5">
        <w:rPr>
          <w:rFonts w:ascii="Times New Roman" w:hAnsi="Times New Roman" w:cs="Times New Roman"/>
          <w:color w:val="000000" w:themeColor="text1"/>
          <w:sz w:val="24"/>
          <w:szCs w:val="24"/>
        </w:rPr>
        <w:t>eHcy, Hcy, and monocysteine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Thetin unmethylated bridged cysteine methylpherase,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r w:rsidRPr="00B126C5">
        <w:lastRenderedPageBreak/>
        <w:t xml:space="preserve">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Agrin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is considered to be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F3DBD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5E99DE3C"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w:t>
      </w:r>
      <w:r w:rsidRPr="00B126C5">
        <w:rPr>
          <w:rFonts w:ascii="Times New Roman" w:hAnsi="Times New Roman" w:cs="Times New Roman"/>
          <w:color w:val="000000" w:themeColor="text1"/>
          <w:sz w:val="24"/>
          <w:szCs w:val="24"/>
        </w:rPr>
        <w:lastRenderedPageBreak/>
        <w:t>LPCAT/MBOAT/Lysoplasmalogenase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B126C5">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w:t>
      </w:r>
      <w:r w:rsidRPr="00B126C5">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w:t>
      </w:r>
      <w:r w:rsidRPr="00B126C5">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w:t>
      </w:r>
      <w:r w:rsidRPr="00B126C5">
        <w:rPr>
          <w:rFonts w:ascii="Times New Roman" w:hAnsi="Times New Roman" w:cs="Times New Roman"/>
          <w:color w:val="000000" w:themeColor="text1"/>
          <w:sz w:val="24"/>
          <w:szCs w:val="24"/>
        </w:rPr>
        <w:lastRenderedPageBreak/>
        <w:t>structure. The priority seems to be structural translation, sustainment and cycling if current, particularly hydridic aether.</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w:t>
      </w:r>
      <w:r w:rsidRPr="00B126C5">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Pr="00B126C5">
        <w:rPr>
          <w:rFonts w:ascii="Times New Roman" w:hAnsi="Times New Roman" w:cs="Times New Roman"/>
          <w:color w:val="000000" w:themeColor="text1"/>
          <w:sz w:val="24"/>
          <w:szCs w:val="24"/>
        </w:rPr>
        <w:lastRenderedPageBreak/>
        <w:t xml:space="preserve">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essential, empirical indicator or factor in health, disease and therapy. Benzocaine used for gums and dental structural relief a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Adult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strength is observed in one study to flow from less stable to more stable as portland-2 zeta2/beta2, portland-1 zeta2/gamma2 equal to gower-1 zeta2/epsilon2, gower-2 </w:t>
      </w:r>
      <w:r w:rsidRPr="00B126C5">
        <w:rPr>
          <w:rFonts w:ascii="Times New Roman" w:hAnsi="Times New Roman" w:cs="Times New Roman"/>
          <w:color w:val="000000" w:themeColor="text1"/>
          <w:sz w:val="24"/>
          <w:szCs w:val="24"/>
        </w:rPr>
        <w:lastRenderedPageBreak/>
        <w:t xml:space="preserve">alpha2/epsilon2, hbf1, hbf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w:t>
      </w:r>
      <w:r w:rsidRPr="00B126C5">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Nutr Metabo.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PLoS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Cold Spring Harb Perspect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Pediatr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Arch Pediatr Adolesc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Front Mol Neurosci.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Biochem Biophys Res Commun.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Cold Spring Harb Perspect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Acad Sci U S A.  Volume 75.  Number 11. Pages 5462 to 5465. November,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B126C5">
        <w:rPr>
          <w:rFonts w:ascii="Times New Roman" w:hAnsi="Times New Roman" w:cs="Times New Roman"/>
          <w:color w:val="000000" w:themeColor="text1"/>
          <w:sz w:val="24"/>
          <w:szCs w:val="24"/>
        </w:rPr>
        <w:lastRenderedPageBreak/>
        <w:t xml:space="preserve">available, while the industry should be rapidly moving to provide all of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Engl J Med. Volume 328. Number 2. Pages 73 to 80.  January,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November,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76497D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w:t>
      </w:r>
      <w:r w:rsidRPr="00B126C5">
        <w:rPr>
          <w:rFonts w:ascii="Times New Roman" w:hAnsi="Times New Roman" w:cs="Times New Roman"/>
          <w:color w:val="000000" w:themeColor="text1"/>
          <w:sz w:val="24"/>
          <w:szCs w:val="24"/>
        </w:rPr>
        <w:lastRenderedPageBreak/>
        <w:t xml:space="preserve">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Febs Letters. Volume 590. Issue 23. December,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October,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December,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Bacteriol.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w:t>
      </w:r>
      <w:r w:rsidRPr="00B126C5">
        <w:rPr>
          <w:rFonts w:ascii="Times New Roman" w:hAnsi="Times New Roman" w:cs="Times New Roman"/>
          <w:color w:val="000000" w:themeColor="text1"/>
          <w:sz w:val="24"/>
          <w:szCs w:val="24"/>
        </w:rPr>
        <w:lastRenderedPageBreak/>
        <w:t xml:space="preserve">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Nutr Biochem.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w:t>
      </w:r>
      <w:r w:rsidRPr="00B126C5">
        <w:rPr>
          <w:rFonts w:ascii="Times New Roman" w:hAnsi="Times New Roman" w:cs="Times New Roman"/>
          <w:color w:val="000000" w:themeColor="text1"/>
          <w:sz w:val="24"/>
          <w:szCs w:val="24"/>
        </w:rPr>
        <w:lastRenderedPageBreak/>
        <w:t xml:space="preserve">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Am J Hematol.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Nucl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Crit Rev Biotechnol.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741DEB81"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w:t>
      </w:r>
      <w:r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of methylene blue and photodynamic therapy were not aggregately that of canonical apoptosis pathways and included upregulation of autophagy which typically results in apoptosis among </w:t>
      </w:r>
      <w:r w:rsidRPr="00B126C5">
        <w:rPr>
          <w:rFonts w:ascii="Times New Roman" w:hAnsi="Times New Roman" w:cs="Times New Roman"/>
          <w:color w:val="000000" w:themeColor="text1"/>
          <w:sz w:val="24"/>
          <w:szCs w:val="24"/>
        </w:rPr>
        <w:lastRenderedPageBreak/>
        <w:t xml:space="preserve">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aging, disrupts aging, improves dementia, ameliorates huntington’s disease, disrupts alzheimer’s, delays aging affects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w:t>
      </w:r>
      <w:r w:rsidRPr="00B126C5">
        <w:rPr>
          <w:rFonts w:ascii="Times New Roman" w:hAnsi="Times New Roman" w:cs="Times New Roman"/>
          <w:color w:val="000000" w:themeColor="text1"/>
          <w:sz w:val="24"/>
          <w:szCs w:val="24"/>
        </w:rPr>
        <w:lastRenderedPageBreak/>
        <w:t>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w:t>
      </w:r>
      <w:r w:rsidRPr="00B126C5">
        <w:rPr>
          <w:rFonts w:ascii="Times New Roman" w:hAnsi="Times New Roman" w:cs="Times New Roman"/>
          <w:color w:val="000000" w:themeColor="text1"/>
          <w:sz w:val="24"/>
          <w:szCs w:val="24"/>
        </w:rPr>
        <w:t>ew</w:t>
      </w:r>
      <w:r w:rsidRPr="00B126C5">
        <w:rPr>
          <w:rFonts w:ascii="Times New Roman" w:hAnsi="Times New Roman" w:cs="Times New Roman"/>
          <w:color w:val="000000" w:themeColor="text1"/>
          <w:sz w:val="24"/>
          <w:szCs w:val="24"/>
        </w:rPr>
        <w:t xml:space="preserve">dness, but is not a true crocuses plant although colchicum autumnale L is an autumn flowering plant in the colchicaceae.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“B-nor-metheylene colchicinoid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May,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Thefuelstop,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5-HT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lastRenderedPageBreak/>
        <w:t>Information. “Methylene Bridge to 5-HT3.”   ACS Chem Neurosci.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November, 2005. </w:t>
      </w:r>
    </w:p>
    <w:p w14:paraId="2213AF57" w14:textId="0706943F"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affects become diminishes, although NOE which has 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“anandamide.”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December,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Commun.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Minerva Gastroenterol Dietol.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Kotsanis Institute  Website.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w:t>
      </w:r>
      <w:r w:rsidRPr="00B126C5">
        <w:rPr>
          <w:rFonts w:ascii="Times New Roman" w:hAnsi="Times New Roman" w:cs="Times New Roman"/>
          <w:color w:val="000000" w:themeColor="text1"/>
          <w:sz w:val="24"/>
          <w:szCs w:val="24"/>
        </w:rPr>
        <w:lastRenderedPageBreak/>
        <w:t xml:space="preserve">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w:t>
      </w:r>
      <w:r w:rsidRPr="00B126C5">
        <w:rPr>
          <w:rFonts w:ascii="Times New Roman" w:hAnsi="Times New Roman" w:cs="Times New Roman"/>
          <w:color w:val="000000" w:themeColor="text1"/>
          <w:sz w:val="24"/>
          <w:szCs w:val="24"/>
        </w:rPr>
        <w:lastRenderedPageBreak/>
        <w:t xml:space="preserve">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November,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 Vitro ‘Cellular’ Dev Biol Anim. Volume 52. Number 5. Pages 562 to 567. May,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w:t>
      </w:r>
      <w:r w:rsidRPr="00B126C5">
        <w:rPr>
          <w:rFonts w:ascii="Times New Roman" w:hAnsi="Times New Roman" w:cs="Times New Roman"/>
          <w:color w:val="000000" w:themeColor="text1"/>
          <w:sz w:val="24"/>
          <w:szCs w:val="24"/>
        </w:rPr>
        <w:lastRenderedPageBreak/>
        <w:t xml:space="preserve">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77777777" w:rsidR="00562D84" w:rsidRPr="00B126C5" w:rsidRDefault="00562D84" w:rsidP="00562D84">
      <w:pPr>
        <w:rPr>
          <w:rFonts w:ascii="Times New Roman" w:hAnsi="Times New Roman" w:cs="Times New Roman"/>
          <w:sz w:val="24"/>
          <w:szCs w:val="24"/>
        </w:rPr>
      </w:pPr>
      <w:r w:rsidRPr="00B126C5">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Tricyclo Propane carbocation, illustratively, is considered to be a most stable carbocation.    </w:t>
      </w:r>
    </w:p>
    <w:p w14:paraId="4DFA60D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w:t>
      </w:r>
      <w:r w:rsidRPr="00B126C5">
        <w:rPr>
          <w:rFonts w:ascii="Times New Roman" w:hAnsi="Times New Roman" w:cs="Times New Roman"/>
          <w:color w:val="000000" w:themeColor="text1"/>
          <w:sz w:val="24"/>
          <w:szCs w:val="24"/>
        </w:rPr>
        <w:lastRenderedPageBreak/>
        <w:t xml:space="preserve">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Phosphoethanolamine, CDP Ethanolamine, phosphatidylethanolamine, PMME, PDME and Phosphatidylcholine are each included in the literature as being relevant to the management and clean up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homocysteine and this may be relevant to understanding how the effectiveness of the antihistamines emerges.  This specific context suggest that homocysteine focuses on accessing deactivating the hydridic centers of biologically active molecules, affecting the shape, twist and writhe of biological molecules which, then, impairs the ability of molecules to respond, move, twist, turn, reshape themselves and exhibit other activity that occurs in three dimensional aspects of biological activity. Homocysteine may also fit or integrate, as well a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Homocysteine,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oleoylate, palmitate </w:t>
      </w:r>
      <w:r w:rsidRPr="00B126C5">
        <w:rPr>
          <w:rFonts w:ascii="Times New Roman" w:hAnsi="Times New Roman" w:cs="Times New Roman"/>
          <w:color w:val="000000" w:themeColor="text1"/>
          <w:sz w:val="24"/>
          <w:szCs w:val="24"/>
        </w:rPr>
        <w:lastRenderedPageBreak/>
        <w:t xml:space="preserve">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diesterases,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Lysophosphatidylcholine,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hydride as negatively polarized hydridic center or character in molecules produces a background ph near between 7.2 and to 7.6 which contrasts with the strong ions calculated in acute medicine.  This results in a gradient upon which biological activity occur in numerous redox pathways but particularly involving NAD+/NADH, NADP+/NADPH or between the background ph range and circulating or otherwise exhibited H+.  ph is presented with a definition of “potential of hydrogen.”   Thus NAD+ exhibits hydride the energy that fuels stars, and precursors of nucleotides, DNA, RNA, as well as phosphinic acid, ethanolamines,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ph is typically regarded as the range essential for biological function, consciousness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ATP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within or otherwise effect ambient material, particles and </w:t>
      </w:r>
      <w:r w:rsidRPr="00B126C5">
        <w:rPr>
          <w:rFonts w:ascii="Times New Roman" w:hAnsi="Times New Roman" w:cs="Times New Roman"/>
          <w:color w:val="000000" w:themeColor="text1"/>
          <w:sz w:val="24"/>
          <w:szCs w:val="24"/>
        </w:rPr>
        <w:lastRenderedPageBreak/>
        <w:t xml:space="preserve">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ph near between 7.2 and 7.6.  Hydride can be mined, fracked and released to produce chemical energy, free energy, capacitance and potentials. Pyruvate, ATP, and Glucose contribute to, can be derived from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capacitant influence or potentials with Mitochondria, Endoplasmic reticulum and Nucleus being major competitors, although PARP signaling can sequester enough NAD+ to change capacitant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whether or not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may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clear correlation between age, development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w:t>
      </w:r>
      <w:r w:rsidRPr="00B126C5">
        <w:rPr>
          <w:rFonts w:ascii="Times New Roman" w:hAnsi="Times New Roman" w:cs="Times New Roman"/>
          <w:color w:val="000000" w:themeColor="text1"/>
          <w:sz w:val="24"/>
          <w:szCs w:val="24"/>
        </w:rPr>
        <w:lastRenderedPageBreak/>
        <w:t xml:space="preserve">biosynthetic pathways that may utilize homocysteine. There does not seem to be many studies that are observationally relevant in this regard, although this integrated systems of toxicity management supplying biosynthesis with substrate seem reasonable and in many ways is more simplistic and directly competent to density of cellular entities per micrometer as well s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trimethylglycine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cognitive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to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economic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protection and maintenance, according to the some of the literature although are interactions between NAD(H), NADP(H) pathways.  One study observes </w:t>
      </w:r>
      <w:r w:rsidRPr="00B126C5">
        <w:rPr>
          <w:rFonts w:ascii="Times New Roman" w:hAnsi="Times New Roman" w:cs="Times New Roman"/>
          <w:color w:val="000000" w:themeColor="text1"/>
          <w:sz w:val="24"/>
          <w:szCs w:val="24"/>
        </w:rPr>
        <w:lastRenderedPageBreak/>
        <w:t xml:space="preserve">20 mg of niacin as a foundational daily requirement for NAD+ levels. NAD+/NADH and NADP+/NADPH levels are each regarded as balances to observed therapeutically.  A complete complement of B vitamins including methylcobalamin version of B12 among others, are considered essential daily requirements, along with choline, 6s 5678 methyltetrhydrofolate, phosphatidylcholine, a complete vitamin, and between 7 to 4 mg per kg of anatomical mass each day of choline or phosphatidylcholine.  Sulphones such methsylsulfonylmethane, trimethylglycine, and s methylmethionine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grop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phosphatidylcholine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confirmingly,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matrix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Agrin has emerged as galvanizer of pioneering development, aggregation of acetylcholine receptors used in innervation of tissues in a gender modulated way, as well as is essential in regenerative repair along with particular metalloproteinases, C3 complements activation, and PEMT function.  Agrin is known to emerge at conception in a way in which its participation with hydridic or other fields is observed to occur in coordination with areas of emerging, growing and developing gestational Human beginning with conception. Agrin also is involved with managing monocyte, hematopoietic or blood, circulating and tissue resident stem cellular entities, particularly in marrow.  The canonical function of Agrin is its integration into extracellular matrix where it performs as signal conducting sensory mechanism for extracellular </w:t>
      </w:r>
      <w:r w:rsidRPr="00B126C5">
        <w:rPr>
          <w:rFonts w:ascii="Times New Roman" w:hAnsi="Times New Roman" w:cs="Times New Roman"/>
          <w:color w:val="000000" w:themeColor="text1"/>
          <w:sz w:val="24"/>
          <w:szCs w:val="24"/>
        </w:rPr>
        <w:lastRenderedPageBreak/>
        <w:t xml:space="preserve">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Agrin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Agrin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Agrin and the HIPPO pathway as well as YAP/TAZ, LAT1/LAT2 all participate in receiving, emitting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molecules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all particular, molecules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API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w:t>
      </w:r>
      <w:r w:rsidRPr="00B126C5">
        <w:rPr>
          <w:rFonts w:ascii="Times New Roman" w:hAnsi="Times New Roman" w:cs="Times New Roman"/>
          <w:color w:val="000000" w:themeColor="text1"/>
          <w:sz w:val="24"/>
          <w:szCs w:val="24"/>
        </w:rPr>
        <w:lastRenderedPageBreak/>
        <w:t>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capacitant fields emanated from mitochondria, nucleus and endoplasmic reticulum as well as emanated from neurological system becomes crowded out, displaced and sometimes replaced, not only by stimuli, conditioning and deteriorated environment or social conditions, but directly by electromagnetic fields themselves.  These explain why particular zip codes have</w:t>
      </w:r>
      <w:r w:rsidR="000D176F" w:rsidRPr="00B126C5">
        <w:rPr>
          <w:rFonts w:ascii="Times New Roman" w:hAnsi="Times New Roman" w:cs="Times New Roman"/>
          <w:color w:val="000000" w:themeColor="text1"/>
          <w:sz w:val="24"/>
          <w:szCs w:val="24"/>
        </w:rPr>
        <w:t xml:space="preserve"> the most diminished </w:t>
      </w:r>
      <w:r w:rsidRPr="00B126C5">
        <w:rPr>
          <w:rFonts w:ascii="Times New Roman" w:hAnsi="Times New Roman" w:cs="Times New Roman"/>
          <w:color w:val="000000" w:themeColor="text1"/>
          <w:sz w:val="24"/>
          <w:szCs w:val="24"/>
        </w:rPr>
        <w:t xml:space="preserve">social, behavioral and physiological outcomes,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factor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membranes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phosphodiesterases. Luminal expression of these are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devices and infrastructure.  Pervasively, these electromagnetic field mitigation capabilities  in minuscule differences in costs and complexity of products and services. Similarly, these increase the value of investments in permanent magnet energy </w:t>
      </w:r>
      <w:r w:rsidRPr="00B126C5">
        <w:rPr>
          <w:rFonts w:ascii="Times New Roman" w:hAnsi="Times New Roman" w:cs="Times New Roman"/>
          <w:color w:val="000000" w:themeColor="text1"/>
          <w:sz w:val="24"/>
          <w:szCs w:val="24"/>
        </w:rPr>
        <w:lastRenderedPageBreak/>
        <w:t xml:space="preserve">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response is that physiology becomes programmed to find factors that alleviate homocysteine levels, which have particular innate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advertising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texture and smell, for instance. However, these essential factors are so important that that the influences, systems, organizations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trimethylaminenoxide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Parp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metabolism, and includes an upregulation of lactate anion which can be metabolized lactic acid.   This moves the response to changing physiological conditions from a redirection of pyruvate to a change in NADH, NAD+, lactate anion, lactic acid, and level or Parp signaling.  Parp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w:t>
      </w:r>
      <w:r w:rsidRPr="00B126C5">
        <w:rPr>
          <w:rFonts w:ascii="Times New Roman" w:hAnsi="Times New Roman" w:cs="Times New Roman"/>
          <w:color w:val="000000" w:themeColor="text1"/>
          <w:sz w:val="24"/>
          <w:szCs w:val="24"/>
        </w:rPr>
        <w:lastRenderedPageBreak/>
        <w:t xml:space="preserve">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learned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behavioral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sales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data analyzing ranges of homocysteine were varied, as were intent of such studies.  Thus, in order to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in particular integrated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w:t>
      </w:r>
      <w:r w:rsidRPr="00B126C5">
        <w:rPr>
          <w:rFonts w:ascii="Times New Roman" w:hAnsi="Times New Roman" w:cs="Times New Roman"/>
          <w:color w:val="000000" w:themeColor="text1"/>
          <w:sz w:val="24"/>
          <w:szCs w:val="24"/>
        </w:rPr>
        <w:lastRenderedPageBreak/>
        <w:t xml:space="preserve">even though thousands of years of experience clearly present compartmentalization across this Boltzmann transition form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reconstituting and sustaining the fundamental existential aspects of cellular structure and cellular metabolism are request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attention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nonexercising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particular muscle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compulsion and impaired behavioral factors linked to diminished outcomes. Resultant upregulation of Cytochodrome C, Bax and Bak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w:t>
      </w:r>
      <w:r w:rsidRPr="00B126C5">
        <w:rPr>
          <w:rFonts w:ascii="Times New Roman" w:hAnsi="Times New Roman" w:cs="Times New Roman"/>
          <w:color w:val="000000" w:themeColor="text1"/>
          <w:sz w:val="24"/>
          <w:szCs w:val="24"/>
        </w:rPr>
        <w:lastRenderedPageBreak/>
        <w:t xml:space="preserve">density per micrometer, cellular structure nutrient density, both, are existential aspects of being that affect of factors that transcend location, space and time affect human inclination, perception, cognition, physiology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s the universes level influences, into antecedent aspects of time and future aspects of time, as well as those of immediacy, act upon these susceptibilities.  Pervasively, unassured human, social, behavioral, physiological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November,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changed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particular tissue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These tissue specific therapies are very interesting since it is now known that pathogens pervasively, particularly viral vectors, require destabilization of G quadruplexes in telomeric regions along with TNF and particularly SP1 contents, in order to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SP1, along with diminishing CD4+ and CD8+, also upregulate PDL1 and PD1, </w:t>
      </w:r>
      <w:r w:rsidR="00BF3A5D" w:rsidRPr="00B126C5">
        <w:rPr>
          <w:rFonts w:ascii="Times New Roman" w:hAnsi="Times New Roman" w:cs="Times New Roman"/>
          <w:color w:val="000000" w:themeColor="text1"/>
          <w:sz w:val="24"/>
          <w:szCs w:val="24"/>
        </w:rPr>
        <w:t>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causses the telomeric regions that have increased numbers of G quadruplexes and SP1 transactivation loci to escape transcription</w:t>
      </w:r>
      <w:r w:rsidR="008C57FA" w:rsidRPr="00B126C5">
        <w:rPr>
          <w:rFonts w:ascii="Times New Roman" w:hAnsi="Times New Roman" w:cs="Times New Roman"/>
          <w:color w:val="000000" w:themeColor="text1"/>
          <w:sz w:val="24"/>
          <w:szCs w:val="24"/>
        </w:rPr>
        <w:t>al depletion during each cellular division. Thus, stabilization of the genetic loci at which destabilized G 4 are occurring as  a feature oSP1 upregulation of telomerase, although SP1 is an inhibitor of PEMT and upregulator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downregulation of telomerase from causing depletion of telomeres which would  result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subcompartments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 xml:space="preserve">PEMT2 </w:t>
      </w:r>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trimethylaminenoxide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Its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oncology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compliment immunological function can also utilize these receptors for marking, amplification and enhancement of immunological cascade.  However, these processes present not only how microbes are found directly in circulation or anatomy in in the humoral immunological response, </w:t>
      </w:r>
      <w:r w:rsidRPr="00B126C5">
        <w:rPr>
          <w:rFonts w:ascii="Times New Roman" w:hAnsi="Times New Roman" w:cs="Times New Roman"/>
          <w:color w:val="000000" w:themeColor="text1"/>
          <w:sz w:val="24"/>
          <w:szCs w:val="24"/>
        </w:rPr>
        <w:lastRenderedPageBreak/>
        <w:t xml:space="preserve">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Foxn1 is known to promote regeneration of thymus.   Information. “Thymus Organogenesis and Development.” Eur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underconsidered modality of impaired differentiation, 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underconsidred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w:t>
      </w:r>
      <w:r w:rsidRPr="00B126C5">
        <w:rPr>
          <w:rFonts w:ascii="Times New Roman" w:hAnsi="Times New Roman" w:cs="Times New Roman"/>
          <w:color w:val="000000" w:themeColor="text1"/>
          <w:sz w:val="24"/>
          <w:szCs w:val="24"/>
        </w:rPr>
        <w:lastRenderedPageBreak/>
        <w:t>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PLoS.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pervasive  cycling ever 4 months or so. Thus, Hba1c, should assay the duration that a hemoglobin has been exhibited empirically, the duration of which hemoglobin has been glycosylated, and perhaps, </w:t>
      </w:r>
      <w:r w:rsidRPr="00B126C5">
        <w:rPr>
          <w:rFonts w:ascii="Times New Roman" w:hAnsi="Times New Roman" w:cs="Times New Roman"/>
          <w:color w:val="000000" w:themeColor="text1"/>
          <w:sz w:val="24"/>
          <w:szCs w:val="24"/>
        </w:rPr>
        <w:lastRenderedPageBreak/>
        <w:t xml:space="preserve">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Trimethylaminenoxide is another inhibitor of PEMT.  The literature does not pervasively acknowledge PEMT status and trimethylaminenoxide even in extended duration studies, while it is known that some of the major pathways supplying oxygen , metabolites, nutrients and repair factors to the brain are impeded by deterioration of carotid intima media which can only be repair to adequate plasticity by managing trimethylaminenoxide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 xml:space="preserve">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w:t>
      </w:r>
      <w:r w:rsidRPr="00B126C5">
        <w:rPr>
          <w:rFonts w:ascii="Times New Roman" w:hAnsi="Times New Roman" w:cs="Times New Roman"/>
          <w:sz w:val="24"/>
          <w:szCs w:val="24"/>
        </w:rPr>
        <w:lastRenderedPageBreak/>
        <w:t xml:space="preserve">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w:t>
      </w:r>
      <w:r w:rsidR="0016220A" w:rsidRPr="00B126C5">
        <w:rPr>
          <w:rFonts w:ascii="Times New Roman" w:hAnsi="Times New Roman" w:cs="Times New Roman"/>
          <w:sz w:val="24"/>
          <w:szCs w:val="24"/>
        </w:rPr>
        <w:lastRenderedPageBreak/>
        <w:t xml:space="preserve">outer membrane cause fragmentation of mitochondria, although typically mitochondrial potential has already been diminished when PARKIN and PINK1accumulated in the outer mitochondrial membrane, resulting in fragmentation.  Submitochondria produced as a result are then recycled into other mitochondria or other mitochondrial fragments when potentials in such submitochondria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version ,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October,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w:t>
      </w:r>
      <w:r w:rsidRPr="00B126C5">
        <w:rPr>
          <w:rFonts w:ascii="Times New Roman" w:hAnsi="Times New Roman" w:cs="Times New Roman"/>
          <w:sz w:val="24"/>
          <w:szCs w:val="24"/>
        </w:rPr>
        <w:lastRenderedPageBreak/>
        <w:t xml:space="preserve">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“Mechanism.”  PLoS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pemt,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ISBN-10  0-409-90077-x.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well known that background ph of near between 7.2 to 7.6 are typically essential in sustaining consciousness, particularly conscious cognitive function. The literature does not present as much context for less than conscious statuses with regard to ph out of these ranges other than paralytic status which are to be remediated, although certainly, there may be correlation to ph, conscious cognitive control and potential for interaction at less than conscious levels when this range of ph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clear that consciousness may be promoted or sustained by stimuli and these stimuli perform as a framework for more substantial or focused aspects of behavior, cognition and activity. A </w:t>
      </w:r>
      <w:r w:rsidRPr="00B126C5">
        <w:rPr>
          <w:rFonts w:ascii="Times New Roman" w:hAnsi="Times New Roman" w:cs="Times New Roman"/>
          <w:sz w:val="24"/>
          <w:szCs w:val="24"/>
        </w:rPr>
        <w:lastRenderedPageBreak/>
        <w:t xml:space="preserve">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Both of these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particular studies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literature presents some of the neurological pathways that are involved in impaired eye movement and these include medial rectus, lateral rectus, oculomotor nerve of the cranial nerve III, adducens nerve of the cranial nerve IV, Brainstem medial longitudinal fasciculus MLF,  thereby comprising the 3 major disorders of eye movement such as lateral gaze palsy, one and a half syndrome, and internuclear opthalmoplegia.  These provide the integral effect to brain and brainstem function which homocysteine may impose, although this is merely one dimension of one aspects, of one organ’s function, revealing the potential widespread reprogramming of perception, cognition and behavior impose by homocysteine. Information. “Correlation.”  Radiographics. Volume 33. Number 1.    Information. “Folates.”  Eye (Lond).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w:t>
      </w:r>
      <w:r w:rsidRPr="00B126C5">
        <w:rPr>
          <w:rFonts w:ascii="Times New Roman" w:hAnsi="Times New Roman" w:cs="Times New Roman"/>
          <w:sz w:val="24"/>
          <w:szCs w:val="24"/>
        </w:rPr>
        <w:lastRenderedPageBreak/>
        <w:t xml:space="preserve">phases of the electron transport pathway or oxidative phosphorylation, while about 42 percent typically is integrated into the oxonium that is exhibited between the phosphate groups of ATP.  ATP integration into {methionine enhances the hydridic character within methionine causing the sulfonium to become Ionized into a Cation through a Methyl Group and Hydride carbocation. Mitochondrial fraction of capacitant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 study, contrast to other studies that suggest that DHA in particular downregulates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observes also a high ration of both omega 3 and omega 6 fatty acids in the synaptosomal membrane fraction of phosphatidylethanolamine, concurring with the literature’s observation that omega 3 is derived from particular junctures of omega 6 fatty acid processing pathway.  The synaptosomal membranes are linked to neuronal junctures in tissue, according to the literature, suggesting that acetylcholine processing from pyruvate processing toward acetyl CoA followed by Acetyl CoA decarboxylation by cholineacetyltranseferase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capacitant exchange during hyperpotentiation such as during breast feeding, all may be factors involved in synaptosomal phosphatidylethanolamine processing. Agrin is also known to be active in capacitant, hydridic, polarized contexts as potent actuator of acetylcholine receptor aggregation linked to innervation and neurological development, beginning from conception and into other phase of development.  Information.  “Phosphatidylethanolamine.” Biochim Biophsy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Gerontol A Biol Sci Med Sci.  Volume 73. Volume 4. Pages 545 to 551. March,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aSAH, and factors producing a spectrum of linked disorders such as hemiparesis, apraxia, aphasia, hemianopia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literature observes that PEMT selects newly synthesized phosphatidylethanolamine exhibiting tails that are unglycosylated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structure, cellular metabolisms, tissues, glands, organs, connective tissue and other factors.  Phospholipases and Phosphodiesterases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phosphatidylmonomethyl ethanolamine, and phosphatidyldimethylethanolamine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exhibits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twist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t>
      </w:r>
      <w:r w:rsidRPr="00B126C5">
        <w:rPr>
          <w:rFonts w:ascii="Times New Roman" w:hAnsi="Times New Roman" w:cs="Times New Roman"/>
          <w:sz w:val="24"/>
          <w:szCs w:val="24"/>
        </w:rPr>
        <w:lastRenderedPageBreak/>
        <w:t xml:space="preserve">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space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February,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future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to an outcome, while it is the defined space that determines which system of dynamics is most precisely affective to an outcome. Nanoplasm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nanoplasm,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ATP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light, and enables Humans to interact with much of the universe before such aspects of the Universe are as they are observed. This perspective allows Human observation to result collapse of a electron, which is subatomic material </w:t>
      </w:r>
      <w:r w:rsidR="003E7E85" w:rsidRPr="00B126C5">
        <w:rPr>
          <w:rFonts w:ascii="Times New Roman" w:hAnsi="Times New Roman" w:cs="Times New Roman"/>
          <w:sz w:val="24"/>
          <w:szCs w:val="24"/>
        </w:rPr>
        <w:t>exhibited in a orbital within one or more energy levels that has probabilistic aggregation resultant of interactions with other atoms, from superposition to particle characteristics although an electron or any material may be caused to exhibit wave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one to one basis, to change what hat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produces a prioritization and resilience of status quo, particularly </w:t>
      </w:r>
      <w:r w:rsidRPr="00B126C5">
        <w:rPr>
          <w:rFonts w:ascii="Times New Roman" w:hAnsi="Times New Roman" w:cs="Times New Roman"/>
          <w:sz w:val="24"/>
          <w:szCs w:val="24"/>
        </w:rPr>
        <w:lastRenderedPageBreak/>
        <w:t xml:space="preserve">how human events have resulted in the population members exhibited at any instance in time or in any instance of the Human experience.  Management of these factors also enable individual capacitant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w:t>
      </w:r>
      <w:r w:rsidR="00540F11" w:rsidRPr="00B126C5">
        <w:rPr>
          <w:rFonts w:ascii="Times New Roman" w:hAnsi="Times New Roman" w:cs="Times New Roman"/>
          <w:sz w:val="24"/>
          <w:szCs w:val="24"/>
        </w:rPr>
        <w:lastRenderedPageBreak/>
        <w:t xml:space="preserve">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ascertaining  empirically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are  somehow inherently inhibited by or are derived from Human nature. These result in imposed exhibition of detrimental outcomes and programmed expectation and presumption that detrimental outcomes have to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w:t>
      </w:r>
      <w:r w:rsidRPr="00B126C5">
        <w:rPr>
          <w:rFonts w:ascii="Times New Roman" w:hAnsi="Times New Roman" w:cs="Times New Roman"/>
          <w:sz w:val="24"/>
          <w:szCs w:val="24"/>
        </w:rPr>
        <w:lastRenderedPageBreak/>
        <w:t xml:space="preserve">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programs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individua,  group, branch and systems levels understanding of the affect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intervening and managing Human outcomes.  7 ore levels of causal factors should be included in all outcomes, correlates, mechanistic links, dualities, tuples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 xml:space="preserve">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w:t>
      </w:r>
      <w:r w:rsidR="00913FAD" w:rsidRPr="00B126C5">
        <w:rPr>
          <w:rFonts w:ascii="Times New Roman" w:hAnsi="Times New Roman" w:cs="Times New Roman"/>
          <w:sz w:val="24"/>
          <w:szCs w:val="24"/>
        </w:rPr>
        <w:lastRenderedPageBreak/>
        <w:t>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particular contexts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away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mitigated </w:t>
      </w:r>
      <w:r w:rsidR="00D81910" w:rsidRPr="00B126C5">
        <w:rPr>
          <w:rFonts w:ascii="Times New Roman" w:hAnsi="Times New Roman" w:cs="Times New Roman"/>
          <w:sz w:val="24"/>
          <w:szCs w:val="24"/>
        </w:rPr>
        <w:t xml:space="preserve"> in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independently for any entities exhibiting differences in velocity or mass, e = mc2. The popular notion is that time in a defined space may progress more slowly in a defined space with an increased comparative velocity because light has to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w:t>
      </w:r>
      <w:r w:rsidR="00DA2F08" w:rsidRPr="00B126C5">
        <w:rPr>
          <w:rFonts w:ascii="Times New Roman" w:hAnsi="Times New Roman" w:cs="Times New Roman"/>
          <w:sz w:val="24"/>
          <w:szCs w:val="24"/>
        </w:rPr>
        <w:lastRenderedPageBreak/>
        <w:t xml:space="preserve">many adjudicative contexts which result in outcomes imposed upon them, as the context of nanoplasm,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space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resolving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eras and eras of immediacy. These conditions can be particularly influential and complex when benefit, economic, political, social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 xml:space="preserve">as well as in confirmation of inaccurate opinion or antiquated perspective, may eventually begin to become integral enablers or integrally </w:t>
      </w:r>
      <w:r w:rsidR="00C5271E" w:rsidRPr="00B126C5">
        <w:rPr>
          <w:rFonts w:ascii="Times New Roman" w:hAnsi="Times New Roman" w:cs="Times New Roman"/>
          <w:sz w:val="24"/>
          <w:szCs w:val="24"/>
        </w:rPr>
        <w:lastRenderedPageBreak/>
        <w:t>causal to the outcomes which such system may intervene, interact, manage or regulate. This context is particularly in regard to fee for service payment in which are is provided on the basis of exhibition of diminished Human outcomes, as well as logically similar contexts otherwise. Humans were intended to interact with antecedent and future eras, and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understanding, knowledge, and awareness, as well as develop capabilities to more adequately assure Human,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similar to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to the environment that coordinates molecules and extramolecular space toward galvanizing biological reactivity, interactions and metabolism.  </w:t>
      </w:r>
      <w:r w:rsidRPr="00B126C5">
        <w:rPr>
          <w:rFonts w:ascii="Times New Roman" w:hAnsi="Times New Roman" w:cs="Times New Roman"/>
          <w:sz w:val="24"/>
          <w:szCs w:val="24"/>
        </w:rPr>
        <w:lastRenderedPageBreak/>
        <w:t xml:space="preserve">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1  phosphorylation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in particular physiological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phosphatidylmonomethylethanolamine,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w:t>
      </w:r>
      <w:r w:rsidRPr="00B126C5">
        <w:rPr>
          <w:rFonts w:ascii="Times New Roman" w:hAnsi="Times New Roman" w:cs="Times New Roman"/>
          <w:sz w:val="24"/>
          <w:szCs w:val="24"/>
        </w:rPr>
        <w:lastRenderedPageBreak/>
        <w:t>can sometimes promote assembly of the 2 eV- into NAD+ but can also be absorbed, utilized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ions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more higher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uM, while Mitochondria exhibited about 250 uM,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w:t>
      </w:r>
      <w:r w:rsidRPr="00B126C5">
        <w:rPr>
          <w:rFonts w:ascii="Times New Roman" w:hAnsi="Times New Roman" w:cs="Times New Roman"/>
          <w:sz w:val="24"/>
          <w:szCs w:val="24"/>
        </w:rPr>
        <w:lastRenderedPageBreak/>
        <w:t xml:space="preserve">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Free Radic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preventied from being diminished and rescued.  These might challenge heretofore exhibited opinion in this regard.  </w:t>
      </w:r>
      <w:bookmarkStart w:id="13" w:name="_Hlk109409222"/>
      <w:r w:rsidRPr="00B126C5">
        <w:t xml:space="preserve">Cytosolic NAD+ density is observed in some literature as about 100 uM, while Mitochondria exhibited about 250 uM,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w:t>
      </w:r>
      <w:r w:rsidRPr="00B126C5">
        <w:lastRenderedPageBreak/>
        <w:t xml:space="preserve">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r w:rsidRPr="00B126C5">
        <w:t xml:space="preserve">Dehydrons are hydrogenic adhesions which are produced in hydrophobic intramolecular areas, similarly to how methyl group shift, hydride shift or hydridic donation of an electron, as well as methionine move to molecular centers.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dehydrons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July,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t xml:space="preserve">Another version or characteristic of carbocation arrangements include a pattern,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February,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w:t>
      </w:r>
      <w:r w:rsidRPr="00B126C5">
        <w:lastRenderedPageBreak/>
        <w:t xml:space="preserve">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scc results in pregnenolone to stimulate steroidogenic hormonal processing,  each clearly present that is oxidation, peroxidation or glycation of cholesterol that presents the most substantial risk instead of mere exhibition of cholesterol. Ancient pink Himalayan sea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molecules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w:t>
      </w:r>
      <w:r w:rsidRPr="00B126C5">
        <w:rPr>
          <w:rFonts w:ascii="Times New Roman" w:hAnsi="Times New Roman" w:cs="Times New Roman"/>
          <w:sz w:val="24"/>
          <w:szCs w:val="24"/>
        </w:rPr>
        <w:lastRenderedPageBreak/>
        <w:t xml:space="preserve">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atp which causes more current to be available, but also because carbocations try to find the most stable configuration.  This dynamic seems to be similar to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w:t>
      </w:r>
      <w:r w:rsidRPr="00B126C5">
        <w:rPr>
          <w:rFonts w:ascii="Times New Roman" w:hAnsi="Times New Roman" w:cs="Times New Roman"/>
          <w:sz w:val="24"/>
          <w:szCs w:val="24"/>
        </w:rPr>
        <w:lastRenderedPageBreak/>
        <w:t xml:space="preserve">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trapped energy in the intracellular environment results in exhibition of hydride intermetallic compounds of #d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w:t>
      </w:r>
      <w:r w:rsidRPr="00B126C5">
        <w:rPr>
          <w:rFonts w:ascii="Times New Roman" w:hAnsi="Times New Roman" w:cs="Times New Roman"/>
          <w:sz w:val="24"/>
          <w:szCs w:val="24"/>
        </w:rPr>
        <w:lastRenderedPageBreak/>
        <w:t xml:space="preserve">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at 10 um/L or more should be considered for therapy that includes Homocysteine management specifically.  Referral for outpatient care should be performed to complete the continuum of care to below 10 um/L, while management to 6 or 7 um/L  can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w:t>
      </w:r>
      <w:r w:rsidRPr="00B126C5">
        <w:rPr>
          <w:rFonts w:ascii="Times New Roman" w:hAnsi="Times New Roman" w:cs="Times New Roman"/>
          <w:color w:val="000000" w:themeColor="text1"/>
          <w:sz w:val="24"/>
          <w:szCs w:val="24"/>
        </w:rPr>
        <w:lastRenderedPageBreak/>
        <w:t xml:space="preserve">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trimethylaminenoxide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be considered to be an integral aspect of emergency conditions and sudden adverse health events, as well as chronic conditions and conditions that become increasingly detrimental. Emergency medicine, however, particularly with regard to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Phosphatidylcholine, Choline, Alpha-GPC, Choline Kinase alpha inhibitor Pregnenolone, DHEA, S - Methylmethionine sulfonium, Methylsulfonylmethane, A complete mineral supplements, minerals from pink Himalayan sea salt, a complete natural vitamin supplement with B12/B6/thiamine/pantothenic </w:t>
      </w:r>
      <w:r w:rsidRPr="00B126C5">
        <w:rPr>
          <w:color w:val="auto"/>
          <w:sz w:val="24"/>
          <w:szCs w:val="24"/>
        </w:rPr>
        <w:lastRenderedPageBreak/>
        <w:t>acid/K2/Biotin, Riboflavin, other vitamins.  Glutathione.  Catalase. Selenium. Sulfobetaine.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Transsulfuration  Pathway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Danshen/Red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Metabolites Cystathionine, Cysteine, Alpha-Ketobutyrate,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Managing Homocysteic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Managing Homocysteine Thiolactone,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a number of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PPARy-PKA-cAMP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Trimethylglycine.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S-Methylmethionine (S – Methylmethionine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Thetin-Homocysteine Methylpherase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methylthiopurine.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S -adenosyl L homocysteine and a thiopurine s – methylether</w:t>
      </w:r>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5, Methyltetrahydrofolate, Vitamin B12 Methylcobalamin</w:t>
      </w:r>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Trimethylsulfonium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Trimethylsulfonium and 6s 5678 Tetrahydrofolate bidirectionally potentiates dimethylsulfide and 5 methyltetrahydrofolate</w:t>
      </w:r>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lastRenderedPageBreak/>
        <w:t>Methionine, Water and ATP, potentiate phosphate, diphosphate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INMT, Indolethylamine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Eastern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services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involved a weekly, biweekly or monthly model that has an </w:t>
      </w:r>
      <w:r w:rsidRPr="00B126C5">
        <w:rPr>
          <w:rFonts w:ascii="Times New Roman" w:hAnsi="Times New Roman" w:cs="Times New Roman"/>
          <w:color w:val="000000" w:themeColor="text1"/>
          <w:sz w:val="24"/>
          <w:szCs w:val="24"/>
        </w:rPr>
        <w:lastRenderedPageBreak/>
        <w:t xml:space="preserve">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tis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biweekly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carers, provider entities and carer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Already, managed care entities have started to shift their funding toward enabling, producing, and sustaining health services provider offices, providers, entities, groups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an civilization seems to often require the aggregate contributory and interactive function of a somewhat comprehensive group of industries and function in a civilization.  </w:t>
      </w:r>
    </w:p>
    <w:p w14:paraId="2CBD88ED" w14:textId="4FEC2D1A" w:rsidR="007539D3" w:rsidRPr="00B126C5" w:rsidRDefault="000304D5" w:rsidP="00A95CC3">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w:t>
      </w: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A58E3" w14:textId="77777777" w:rsidR="0039265B" w:rsidRDefault="0039265B" w:rsidP="00127CDD">
      <w:pPr>
        <w:spacing w:after="0" w:line="240" w:lineRule="auto"/>
      </w:pPr>
      <w:r>
        <w:separator/>
      </w:r>
    </w:p>
  </w:endnote>
  <w:endnote w:type="continuationSeparator" w:id="0">
    <w:p w14:paraId="0FE64020" w14:textId="77777777" w:rsidR="0039265B" w:rsidRDefault="0039265B"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095D" w14:textId="77777777" w:rsidR="0039265B" w:rsidRDefault="0039265B" w:rsidP="00127CDD">
      <w:pPr>
        <w:spacing w:after="0" w:line="240" w:lineRule="auto"/>
      </w:pPr>
      <w:r>
        <w:separator/>
      </w:r>
    </w:p>
  </w:footnote>
  <w:footnote w:type="continuationSeparator" w:id="0">
    <w:p w14:paraId="3D5FD22A" w14:textId="77777777" w:rsidR="0039265B" w:rsidRDefault="0039265B"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C129F"/>
    <w:rsid w:val="002C2146"/>
    <w:rsid w:val="002C3D36"/>
    <w:rsid w:val="002C6D33"/>
    <w:rsid w:val="002D0BBA"/>
    <w:rsid w:val="002D1357"/>
    <w:rsid w:val="002D54EE"/>
    <w:rsid w:val="002D643A"/>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C068B"/>
    <w:rsid w:val="006C0F41"/>
    <w:rsid w:val="006C3A33"/>
    <w:rsid w:val="006C6FEF"/>
    <w:rsid w:val="006C77AB"/>
    <w:rsid w:val="006D3B6F"/>
    <w:rsid w:val="006D74B5"/>
    <w:rsid w:val="006E16DA"/>
    <w:rsid w:val="006E36C2"/>
    <w:rsid w:val="006E74C9"/>
    <w:rsid w:val="006F134D"/>
    <w:rsid w:val="006F3880"/>
    <w:rsid w:val="006F3A9F"/>
    <w:rsid w:val="006F6EC3"/>
    <w:rsid w:val="00702B5E"/>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101</Pages>
  <Words>53822</Words>
  <Characters>306789</Characters>
  <Application>Microsoft Office Word</Application>
  <DocSecurity>0</DocSecurity>
  <Lines>2556</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14</cp:revision>
  <cp:lastPrinted>2022-10-26T07:15:00Z</cp:lastPrinted>
  <dcterms:created xsi:type="dcterms:W3CDTF">2022-10-26T02:09:00Z</dcterms:created>
  <dcterms:modified xsi:type="dcterms:W3CDTF">2022-11-11T06:02:00Z</dcterms:modified>
</cp:coreProperties>
</file>