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48"/>
          <w:szCs w:val="48"/>
          <w:highlight w:val="white"/>
          <w:rtl w:val="0"/>
        </w:rPr>
        <w:t xml:space="preserve">Customer Churn Prediction and Classification</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0"/>
          <w:szCs w:val="20"/>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Priya Jani </w:t>
            </w:r>
          </w:p>
          <w:p w:rsidR="00000000" w:rsidDel="00000000" w:rsidP="00000000" w:rsidRDefault="00000000" w:rsidRPr="00000000" w14:paraId="0000000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University</w:t>
            </w:r>
          </w:p>
          <w:p w:rsidR="00000000" w:rsidDel="00000000" w:rsidP="00000000" w:rsidRDefault="00000000" w:rsidRPr="00000000" w14:paraId="0000000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India</w:t>
            </w:r>
          </w:p>
          <w:p w:rsidR="00000000" w:rsidDel="00000000" w:rsidP="00000000" w:rsidRDefault="00000000" w:rsidRPr="00000000" w14:paraId="00000006">
            <w:pPr>
              <w:jc w:val="center"/>
              <w:rPr>
                <w:rFonts w:ascii="Times New Roman" w:cs="Times New Roman" w:eastAsia="Times New Roman" w:hAnsi="Times New Roman"/>
                <w:sz w:val="20"/>
                <w:szCs w:val="20"/>
                <w:highlight w:val="white"/>
              </w:rPr>
            </w:pP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priya.j@ahduni.edu.in</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Yansi Memdani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University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India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yansi.m@ahduni.edu.in</w:t>
              </w:r>
            </w:hyperlink>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Priyanshu Pathak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University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India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priyanshu.p@ahduni.edu.in</w:t>
              </w:r>
            </w:hyperlink>
            <w:r w:rsidDel="00000000" w:rsidR="00000000" w:rsidRPr="00000000">
              <w:rPr>
                <w:rFonts w:ascii="Times New Roman" w:cs="Times New Roman" w:eastAsia="Times New Roman" w:hAnsi="Times New Roman"/>
                <w:sz w:val="20"/>
                <w:szCs w:val="20"/>
                <w:highlight w:val="white"/>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Mohnish Mirchandani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University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Ahmedabad, India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mohnish.m@ahduni.edu.in</w:t>
              </w:r>
            </w:hyperlink>
            <w:r w:rsidDel="00000000" w:rsidR="00000000" w:rsidRPr="00000000">
              <w:rPr>
                <w:rFonts w:ascii="Times New Roman" w:cs="Times New Roman" w:eastAsia="Times New Roman" w:hAnsi="Times New Roman"/>
                <w:sz w:val="20"/>
                <w:szCs w:val="20"/>
                <w:highlight w:val="white"/>
                <w:rtl w:val="0"/>
              </w:rPr>
              <w:t xml:space="preserve"> </w:t>
            </w:r>
          </w:p>
        </w:tc>
      </w:tr>
    </w:tbl>
    <w:p w:rsidR="00000000" w:rsidDel="00000000" w:rsidP="00000000" w:rsidRDefault="00000000" w:rsidRPr="00000000" w14:paraId="00000015">
      <w:pPr>
        <w:jc w:val="left"/>
        <w:rPr>
          <w:rFonts w:ascii="Times New Roman" w:cs="Times New Roman" w:eastAsia="Times New Roman" w:hAnsi="Times New Roman"/>
          <w:sz w:val="20"/>
          <w:szCs w:val="20"/>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Abstract – The following report provides an overview and implementation of the common algorithms like Logistic Regression, SVM and Naive Bayes which are used for prediction for the problem of customer churn classification. It compares the same across multiple parameters and shows the differences and similarities of the algorithms in their computations.</w:t>
      </w:r>
    </w:p>
    <w:p w:rsidR="00000000" w:rsidDel="00000000" w:rsidP="00000000" w:rsidRDefault="00000000" w:rsidRPr="00000000" w14:paraId="00000017">
      <w:pPr>
        <w:jc w:val="left"/>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Keywords - Customer Churn, Classification, Prediction, Logistic Regression, Support Vector Machine, Naive Bayes Classification</w:t>
      </w:r>
    </w:p>
    <w:p w:rsidR="00000000" w:rsidDel="00000000" w:rsidP="00000000" w:rsidRDefault="00000000" w:rsidRPr="00000000" w14:paraId="00000019">
      <w:pPr>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numPr>
          <w:ilvl w:val="0"/>
          <w:numId w:val="5"/>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INTRODUCTION</w:t>
      </w:r>
    </w:p>
    <w:p w:rsidR="00000000" w:rsidDel="00000000" w:rsidP="00000000" w:rsidRDefault="00000000" w:rsidRPr="00000000" w14:paraId="0000001B">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Customer churn, also referred to as subscriber churn or logo churn, refers to the proportion of subscribers who terminate their subscriptions and is commonly expressed as a percentage. Customer churn prediction and analysis is one of the foremost and widespread applications of classical machine learning. Customer churn is a critical metric that can display customer satisfaction at the macro scale. Additionally, the telecom sector generally sees more significant churn rates than other sectors. This creates a large-scale requirement for better prediction models. </w:t>
      </w:r>
    </w:p>
    <w:p w:rsidR="00000000" w:rsidDel="00000000" w:rsidP="00000000" w:rsidRDefault="00000000" w:rsidRPr="00000000" w14:paraId="0000001D">
      <w:pPr>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E">
      <w:pPr>
        <w:numPr>
          <w:ilvl w:val="0"/>
          <w:numId w:val="6"/>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LITERATURE SURVEY</w:t>
      </w:r>
    </w:p>
    <w:p w:rsidR="00000000" w:rsidDel="00000000" w:rsidP="00000000" w:rsidRDefault="00000000" w:rsidRPr="00000000" w14:paraId="0000001F">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Customer Churn prediction has been a problem of the data transfer age with prominent research across the problem statement. Network analysis for customer churn is one-way networks connected by the similarity of churning members used to predict the possibility of churn. Classical Machine Learning algorithms provide a proven approach to predicting churn. Deep Learning models tend to go one step further to predict churn rates.</w:t>
      </w:r>
    </w:p>
    <w:p w:rsidR="00000000" w:rsidDel="00000000" w:rsidP="00000000" w:rsidRDefault="00000000" w:rsidRPr="00000000" w14:paraId="00000021">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numPr>
          <w:ilvl w:val="0"/>
          <w:numId w:val="1"/>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IMPLEMENTATION</w:t>
      </w:r>
    </w:p>
    <w:p w:rsidR="00000000" w:rsidDel="00000000" w:rsidP="00000000" w:rsidRDefault="00000000" w:rsidRPr="00000000" w14:paraId="00000023">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A. Data cleaning </w:t>
      </w:r>
    </w:p>
    <w:p w:rsidR="00000000" w:rsidDel="00000000" w:rsidP="00000000" w:rsidRDefault="00000000" w:rsidRPr="00000000" w14:paraId="0000002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 checking for duplicate and missing values, we found the data accurate and consistent. There were no missing values. </w:t>
      </w:r>
    </w:p>
    <w:p w:rsidR="00000000" w:rsidDel="00000000" w:rsidP="00000000" w:rsidRDefault="00000000" w:rsidRPr="00000000" w14:paraId="0000002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B. Exploratory Data Analysis</w:t>
      </w:r>
    </w:p>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Few fields were in a different format. We transformed the feature into the numerical format by filling empty spaces(NaN) with a median. Every feature was plotted against the churn rate to get an idea of what the feature is and how it impacts the overall churn rate of an individual.</w:t>
      </w:r>
    </w:p>
    <w:p w:rsidR="00000000" w:rsidDel="00000000" w:rsidP="00000000" w:rsidRDefault="00000000" w:rsidRPr="00000000" w14:paraId="0000002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function named “exploring_addtional_services” was made that takes features as input, converts data into a percentage, and plots it.</w:t>
      </w:r>
    </w:p>
    <w:p w:rsidR="00000000" w:rsidDel="00000000" w:rsidP="00000000" w:rsidRDefault="00000000" w:rsidRPr="00000000" w14:paraId="0000002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C. Data Preprocessing</w:t>
      </w:r>
    </w:p>
    <w:p w:rsidR="00000000" w:rsidDel="00000000" w:rsidP="00000000" w:rsidRDefault="00000000" w:rsidRPr="00000000" w14:paraId="0000002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Machine learning models work only with numerical values. Thus some relevant features were transformed into numerical ones. Binary encoding is used after transformation.</w:t>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D. Correlation</w:t>
      </w:r>
    </w:p>
    <w:p w:rsidR="00000000" w:rsidDel="00000000" w:rsidP="00000000" w:rsidRDefault="00000000" w:rsidRPr="00000000" w14:paraId="0000002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correlation matrix was used as a measure to find a linear relationship between 2 variables. Some of the features were highly correlated, and thus they can be dropped from the dataset, for example, DeviceProtection, TechSupport, StreamingTV, and StreamingMovies.</w:t>
      </w:r>
    </w:p>
    <w:p w:rsidR="00000000" w:rsidDel="00000000" w:rsidP="00000000" w:rsidRDefault="00000000" w:rsidRPr="00000000" w14:paraId="00000030">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E. Generalized Linear Model</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3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is a regression model that describes relations between predictor variables and a response variable. GLMs allow for more flexible, non-linear relationships by employing a diverse underlying statistical distribution.</w:t>
      </w:r>
    </w:p>
    <w:p w:rsidR="00000000" w:rsidDel="00000000" w:rsidP="00000000" w:rsidRDefault="00000000" w:rsidRPr="00000000" w14:paraId="0000003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GLM outputs the following measures: estimated coefficients, standard errors, and p values. </w:t>
      </w:r>
    </w:p>
    <w:p w:rsidR="00000000" w:rsidDel="00000000" w:rsidP="00000000" w:rsidRDefault="00000000" w:rsidRPr="00000000" w14:paraId="0000003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Estimated coefficients represent the estimated effects of the predictor variables on the response variable.</w:t>
      </w:r>
    </w:p>
    <w:p w:rsidR="00000000" w:rsidDel="00000000" w:rsidP="00000000" w:rsidRDefault="00000000" w:rsidRPr="00000000" w14:paraId="0000003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Standard Errors represent the standard deviation of the sampling distribution of the estimated coefficients.</w:t>
      </w:r>
    </w:p>
    <w:p w:rsidR="00000000" w:rsidDel="00000000" w:rsidP="00000000" w:rsidRDefault="00000000" w:rsidRPr="00000000" w14:paraId="0000003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 values are used to determine the statistical significance. A small p-value (e.g., less than 0.05) suggests that the estimated coefficient is unlikely to have arisen by chance.</w:t>
      </w:r>
    </w:p>
    <w:p w:rsidR="00000000" w:rsidDel="00000000" w:rsidP="00000000" w:rsidRDefault="00000000" w:rsidRPr="00000000" w14:paraId="0000003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F. Feature Scaling</w:t>
      </w:r>
    </w:p>
    <w:p w:rsidR="00000000" w:rsidDel="00000000" w:rsidP="00000000" w:rsidRDefault="00000000" w:rsidRPr="00000000" w14:paraId="0000003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Feature Scaling is a technique to standardize the independent features present in the data in a fixed range. </w:t>
      </w:r>
    </w:p>
    <w:p w:rsidR="00000000" w:rsidDel="00000000" w:rsidP="00000000" w:rsidRDefault="00000000" w:rsidRPr="00000000" w14:paraId="0000003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columns tenure, monthly charges, and total charges are scaled individually and then pushed back to the original database. </w:t>
      </w:r>
    </w:p>
    <w:p w:rsidR="00000000" w:rsidDel="00000000" w:rsidP="00000000" w:rsidRDefault="00000000" w:rsidRPr="00000000" w14:paraId="0000003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G. Classification Models</w:t>
      </w:r>
    </w:p>
    <w:p w:rsidR="00000000" w:rsidDel="00000000" w:rsidP="00000000" w:rsidRDefault="00000000" w:rsidRPr="00000000" w14:paraId="0000003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the three models we have used, the approaches are as follows: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i w:val="1"/>
          <w:sz w:val="20"/>
          <w:szCs w:val="20"/>
          <w:highlight w:val="white"/>
          <w:rtl w:val="0"/>
        </w:rPr>
        <w:t xml:space="preserve">Binary Logistic Regression:</w:t>
      </w:r>
      <w:r w:rsidDel="00000000" w:rsidR="00000000" w:rsidRPr="00000000">
        <w:rPr>
          <w:rFonts w:ascii="Times New Roman" w:cs="Times New Roman" w:eastAsia="Times New Roman" w:hAnsi="Times New Roman"/>
          <w:sz w:val="20"/>
          <w:szCs w:val="20"/>
          <w:highlight w:val="white"/>
          <w:rtl w:val="0"/>
        </w:rPr>
        <w:t xml:space="preserve"> It is a classification algorithm for classifying whether the customer will churn. Here we have made some assumptions as follows: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The dependent variable is binary that is, it has only two options, 0 or 1. </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It should have no or very little multicollinearity between the independent variables. The independent variables should be linearly related to log odds (ratio of success to failure).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Logistic regression requires a fairly large sample size to make it more reliable.</w:t>
      </w:r>
    </w:p>
    <w:p w:rsidR="00000000" w:rsidDel="00000000" w:rsidP="00000000" w:rsidRDefault="00000000" w:rsidRPr="00000000" w14:paraId="00000043">
      <w:pPr>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log-likelihood for the logistic regression is as follows: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14650" cy="6604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146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0"/>
          <w:szCs w:val="20"/>
          <w:highlight w:val="white"/>
        </w:rPr>
      </w:pPr>
      <w:hyperlink r:id="rId11">
        <w:r w:rsidDel="00000000" w:rsidR="00000000" w:rsidRPr="00000000">
          <w:rPr>
            <w:rFonts w:ascii="Times New Roman" w:cs="Times New Roman" w:eastAsia="Times New Roman" w:hAnsi="Times New Roman"/>
            <w:sz w:val="20"/>
            <w:szCs w:val="20"/>
          </w:rPr>
          <w:drawing>
            <wp:inline distB="19050" distT="19050" distL="19050" distR="19050">
              <wp:extent cx="203200" cy="508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03200" cy="50800"/>
                      </a:xfrm>
                      <a:prstGeom prst="rect"/>
                      <a:ln/>
                    </pic:spPr>
                  </pic:pic>
                </a:graphicData>
              </a:graphic>
            </wp:inline>
          </w:drawing>
        </w:r>
      </w:hyperlink>
      <w:r w:rsidDel="00000000" w:rsidR="00000000" w:rsidRPr="00000000">
        <w:rPr>
          <w:rFonts w:ascii="Times New Roman" w:cs="Times New Roman" w:eastAsia="Times New Roman" w:hAnsi="Times New Roman"/>
          <w:sz w:val="20"/>
          <w:szCs w:val="20"/>
          <w:highlight w:val="white"/>
          <w:rtl w:val="0"/>
        </w:rPr>
        <w:t xml:space="preserve"> success probability</w:t>
      </w:r>
    </w:p>
    <w:p w:rsidR="00000000" w:rsidDel="00000000" w:rsidP="00000000" w:rsidRDefault="00000000" w:rsidRPr="00000000" w14:paraId="00000047">
      <w:pPr>
        <w:ind w:lef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i w:val="1"/>
          <w:sz w:val="20"/>
          <w:szCs w:val="20"/>
          <w:highlight w:val="white"/>
          <w:rtl w:val="0"/>
        </w:rPr>
        <w:t xml:space="preserve">Support Vector Machine (SVM): </w:t>
      </w:r>
      <w:r w:rsidDel="00000000" w:rsidR="00000000" w:rsidRPr="00000000">
        <w:rPr>
          <w:rFonts w:ascii="Times New Roman" w:cs="Times New Roman" w:eastAsia="Times New Roman" w:hAnsi="Times New Roman"/>
          <w:sz w:val="20"/>
          <w:szCs w:val="20"/>
          <w:highlight w:val="white"/>
          <w:rtl w:val="0"/>
        </w:rPr>
        <w:t xml:space="preserve">The support vector classifier finds the largest gap possible between the nearest points of two clusters.</w:t>
      </w:r>
    </w:p>
    <w:p w:rsidR="00000000" w:rsidDel="00000000" w:rsidP="00000000" w:rsidRDefault="00000000" w:rsidRPr="00000000" w14:paraId="00000049">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71713" cy="409575"/>
            <wp:effectExtent b="0" l="0" r="0" t="0"/>
            <wp:docPr id="9" name="image7.png"/>
            <a:graphic>
              <a:graphicData uri="http://schemas.openxmlformats.org/drawingml/2006/picture">
                <pic:pic>
                  <pic:nvPicPr>
                    <pic:cNvPr id="0" name="image7.png"/>
                    <pic:cNvPicPr preferRelativeResize="0"/>
                  </pic:nvPicPr>
                  <pic:blipFill>
                    <a:blip r:embed="rId13"/>
                    <a:srcRect b="0" l="15264" r="15851" t="0"/>
                    <a:stretch>
                      <a:fillRect/>
                    </a:stretch>
                  </pic:blipFill>
                  <pic:spPr>
                    <a:xfrm>
                      <a:off x="0" y="0"/>
                      <a:ext cx="2271713"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i w:val="1"/>
          <w:sz w:val="20"/>
          <w:szCs w:val="20"/>
          <w:highlight w:val="white"/>
          <w:rtl w:val="0"/>
        </w:rPr>
        <w:t xml:space="preserve">Naive Bayes Classifier:</w:t>
      </w:r>
      <w:r w:rsidDel="00000000" w:rsidR="00000000" w:rsidRPr="00000000">
        <w:rPr>
          <w:rFonts w:ascii="Times New Roman" w:cs="Times New Roman" w:eastAsia="Times New Roman" w:hAnsi="Times New Roman"/>
          <w:sz w:val="20"/>
          <w:szCs w:val="20"/>
          <w:highlight w:val="white"/>
          <w:rtl w:val="0"/>
        </w:rPr>
        <w:t xml:space="preserve"> It classifies using the conditional probability approach to determine the probability of the hypothesis given some prior knowledge. We have used Gaussian Distribution for code implementation.</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14613" cy="31965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14613" cy="31965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3188" cy="7620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4318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 is the random variable corresponding to the churn class index of an observation. </w:t>
      </w:r>
    </w:p>
    <w:p w:rsidR="00000000" w:rsidDel="00000000" w:rsidP="00000000" w:rsidRDefault="00000000" w:rsidRPr="00000000" w14:paraId="0000004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w:t>
      </w:r>
      <w:r w:rsidDel="00000000" w:rsidR="00000000" w:rsidRPr="00000000">
        <w:rPr>
          <w:rFonts w:ascii="Times New Roman" w:cs="Times New Roman" w:eastAsia="Times New Roman" w:hAnsi="Times New Roman"/>
          <w:sz w:val="20"/>
          <w:szCs w:val="20"/>
          <w:highlight w:val="white"/>
          <w:vertAlign w:val="subscript"/>
          <w:rtl w:val="0"/>
        </w:rPr>
        <w:t xml:space="preserve">1</w:t>
      </w:r>
      <w:r w:rsidDel="00000000" w:rsidR="00000000" w:rsidRPr="00000000">
        <w:rPr>
          <w:rFonts w:ascii="Times New Roman" w:cs="Times New Roman" w:eastAsia="Times New Roman" w:hAnsi="Times New Roman"/>
          <w:sz w:val="20"/>
          <w:szCs w:val="20"/>
          <w:highlight w:val="white"/>
          <w:rtl w:val="0"/>
        </w:rPr>
        <w:t xml:space="preserve">, X</w:t>
      </w:r>
      <w:r w:rsidDel="00000000" w:rsidR="00000000" w:rsidRPr="00000000">
        <w:rPr>
          <w:rFonts w:ascii="Times New Roman" w:cs="Times New Roman" w:eastAsia="Times New Roman" w:hAnsi="Times New Roman"/>
          <w:sz w:val="20"/>
          <w:szCs w:val="20"/>
          <w:highlight w:val="white"/>
          <w:vertAlign w:val="sub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 and X</w:t>
      </w:r>
      <w:r w:rsidDel="00000000" w:rsidR="00000000" w:rsidRPr="00000000">
        <w:rPr>
          <w:rFonts w:ascii="Times New Roman" w:cs="Times New Roman" w:eastAsia="Times New Roman" w:hAnsi="Times New Roman"/>
          <w:sz w:val="20"/>
          <w:szCs w:val="20"/>
          <w:highlight w:val="white"/>
          <w:vertAlign w:val="subscript"/>
          <w:rtl w:val="0"/>
        </w:rPr>
        <w:t xml:space="preserve">3</w:t>
      </w:r>
      <w:r w:rsidDel="00000000" w:rsidR="00000000" w:rsidRPr="00000000">
        <w:rPr>
          <w:rFonts w:ascii="Times New Roman" w:cs="Times New Roman" w:eastAsia="Times New Roman" w:hAnsi="Times New Roman"/>
          <w:sz w:val="20"/>
          <w:szCs w:val="20"/>
          <w:highlight w:val="white"/>
          <w:rtl w:val="0"/>
        </w:rPr>
        <w:t xml:space="preserve"> are the predictors of an observation. </w:t>
      </w:r>
    </w:p>
    <w:p w:rsidR="00000000" w:rsidDel="00000000" w:rsidP="00000000" w:rsidRDefault="00000000" w:rsidRPr="00000000" w14:paraId="0000004F">
      <w:pPr>
        <w:rPr>
          <w:rFonts w:ascii="Times New Roman" w:cs="Times New Roman" w:eastAsia="Times New Roman" w:hAnsi="Times New Roman"/>
          <w:sz w:val="20"/>
          <w:szCs w:val="20"/>
          <w:highlight w:val="white"/>
        </w:rPr>
      </w:pPr>
      <w:hyperlink r:id="rId16">
        <w:r w:rsidDel="00000000" w:rsidR="00000000" w:rsidRPr="00000000">
          <w:rPr>
            <w:rFonts w:ascii="Times New Roman" w:cs="Times New Roman" w:eastAsia="Times New Roman" w:hAnsi="Times New Roman"/>
            <w:sz w:val="20"/>
            <w:szCs w:val="20"/>
            <w:highlight w:val="white"/>
          </w:rPr>
          <w:drawing>
            <wp:inline distB="19050" distT="19050" distL="19050" distR="19050">
              <wp:extent cx="533400" cy="1270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34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highlight w:val="white"/>
          <w:rtl w:val="0"/>
        </w:rPr>
        <w:t xml:space="preserve"> is the prior probability that a class index is </w:t>
      </w:r>
      <w:hyperlink r:id="rId18">
        <w:r w:rsidDel="00000000" w:rsidR="00000000" w:rsidRPr="00000000">
          <w:rPr>
            <w:rFonts w:ascii="Times New Roman" w:cs="Times New Roman" w:eastAsia="Times New Roman" w:hAnsi="Times New Roman"/>
            <w:sz w:val="20"/>
            <w:szCs w:val="20"/>
            <w:highlight w:val="white"/>
          </w:rPr>
          <w:drawing>
            <wp:inline distB="19050" distT="19050" distL="19050" distR="19050">
              <wp:extent cx="63500" cy="1016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0">
      <w:pP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same, code implementation involved the following libraries:</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Sklearn library that supports mathematical, statistical, and general machine learning algorithms (imported algorithms from this library)</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Numpy for linear algebra</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Pandas for data processing</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Matplotlib, Plotly, and seaborn for visualization</w:t>
      </w:r>
    </w:p>
    <w:p w:rsidR="00000000" w:rsidDel="00000000" w:rsidP="00000000" w:rsidRDefault="00000000" w:rsidRPr="00000000" w14:paraId="0000005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created one baseline model function and then used the same for three models that prints accuracy, precision, recall, and f1score along with the confusion matrix.</w:t>
      </w:r>
    </w:p>
    <w:p w:rsidR="00000000" w:rsidDel="00000000" w:rsidP="00000000" w:rsidRDefault="00000000" w:rsidRPr="00000000" w14:paraId="0000005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try to fit training data to train the model and predict it using the testing data for each model.</w:t>
      </w:r>
    </w:p>
    <w:p w:rsidR="00000000" w:rsidDel="00000000" w:rsidP="00000000" w:rsidRDefault="00000000" w:rsidRPr="00000000" w14:paraId="0000005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model.fit(X_train,y_train)</w:t>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y_pred = model.predict(X_test)</w:t>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can be found here: </w:t>
      </w:r>
      <w:hyperlink r:id="rId20">
        <w:r w:rsidDel="00000000" w:rsidR="00000000" w:rsidRPr="00000000">
          <w:rPr>
            <w:rFonts w:ascii="Times New Roman" w:cs="Times New Roman" w:eastAsia="Times New Roman" w:hAnsi="Times New Roman"/>
            <w:color w:val="1155cc"/>
            <w:sz w:val="20"/>
            <w:szCs w:val="20"/>
            <w:u w:val="single"/>
            <w:rtl w:val="0"/>
          </w:rPr>
          <w:t xml:space="preserve">https://colab.research.google.com/drive/1yQ5No-dFUdl9hPT6nHA-ajK4If53K1id?usp=sharing#scrollTo=AxIXOx1BWUrH</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numPr>
          <w:ilvl w:val="0"/>
          <w:numId w:val="4"/>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RESULTS</w:t>
      </w:r>
    </w:p>
    <w:p w:rsidR="00000000" w:rsidDel="00000000" w:rsidP="00000000" w:rsidRDefault="00000000" w:rsidRPr="00000000" w14:paraId="0000005F">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models are evaluated based on the following factors:</w:t>
      </w:r>
    </w:p>
    <w:p w:rsidR="00000000" w:rsidDel="00000000" w:rsidP="00000000" w:rsidRDefault="00000000" w:rsidRPr="00000000" w14:paraId="00000061">
      <w:pPr>
        <w:numPr>
          <w:ilvl w:val="0"/>
          <w:numId w:val="8"/>
        </w:numPr>
        <w:ind w:left="720" w:hanging="360"/>
        <w:jc w:val="left"/>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Accuracy: measures the proportion of correct predictions made by the model</w:t>
      </w:r>
    </w:p>
    <w:p w:rsidR="00000000" w:rsidDel="00000000" w:rsidP="00000000" w:rsidRDefault="00000000" w:rsidRPr="00000000" w14:paraId="00000062">
      <w:pPr>
        <w:numPr>
          <w:ilvl w:val="0"/>
          <w:numId w:val="8"/>
        </w:numPr>
        <w:ind w:left="720" w:hanging="360"/>
        <w:jc w:val="left"/>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Precision: measures the accuracy of positive predictions made by the model</w:t>
      </w:r>
    </w:p>
    <w:p w:rsidR="00000000" w:rsidDel="00000000" w:rsidP="00000000" w:rsidRDefault="00000000" w:rsidRPr="00000000" w14:paraId="00000063">
      <w:pPr>
        <w:numPr>
          <w:ilvl w:val="0"/>
          <w:numId w:val="8"/>
        </w:numPr>
        <w:ind w:left="720" w:hanging="360"/>
        <w:jc w:val="left"/>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Recall:  refers to the model's capacity to detect positive instances accurately</w:t>
      </w:r>
    </w:p>
    <w:p w:rsidR="00000000" w:rsidDel="00000000" w:rsidP="00000000" w:rsidRDefault="00000000" w:rsidRPr="00000000" w14:paraId="00000064">
      <w:pPr>
        <w:numPr>
          <w:ilvl w:val="0"/>
          <w:numId w:val="8"/>
        </w:numPr>
        <w:ind w:left="720" w:hanging="360"/>
        <w:jc w:val="left"/>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F1 Score:  harmonic mean of precision and recall</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highlight w:val="white"/>
        </w:rPr>
      </w:pPr>
      <w:r w:rsidDel="00000000" w:rsidR="00000000" w:rsidRPr="00000000">
        <w:rPr>
          <w:rtl w:val="0"/>
        </w:rPr>
      </w:r>
    </w:p>
    <w:tbl>
      <w:tblPr>
        <w:tblStyle w:val="Table2"/>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60"/>
        <w:gridCol w:w="1140"/>
        <w:gridCol w:w="1245"/>
        <w:tblGridChange w:id="0">
          <w:tblGrid>
            <w:gridCol w:w="1020"/>
            <w:gridCol w:w="1260"/>
            <w:gridCol w:w="1140"/>
            <w:gridCol w:w="124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4"/>
                <w:szCs w:val="1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Logistic Regression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Support Vector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Naive Bayes Classifier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81.27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80.52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65.26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66.04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66.42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41.91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57.74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50.81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86.88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80.85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79.61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14"/>
                <w:szCs w:val="14"/>
                <w:highlight w:val="white"/>
                <w:rtl w:val="0"/>
              </w:rPr>
              <w:t xml:space="preserve">67.28</w:t>
            </w:r>
          </w:p>
        </w:tc>
      </w:tr>
    </w:tbl>
    <w:p w:rsidR="00000000" w:rsidDel="00000000" w:rsidP="00000000" w:rsidRDefault="00000000" w:rsidRPr="00000000" w14:paraId="0000007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the three models, confusion matrices were created.</w:t>
      </w:r>
    </w:p>
    <w:p w:rsidR="00000000" w:rsidDel="00000000" w:rsidP="00000000" w:rsidRDefault="00000000" w:rsidRPr="00000000" w14:paraId="0000007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parameters for the same are output tests and output predicted(i.e., Model name,  y_test, and y_pred)</w:t>
      </w:r>
    </w:p>
    <w:p w:rsidR="00000000" w:rsidDel="00000000" w:rsidP="00000000" w:rsidRDefault="00000000" w:rsidRPr="00000000" w14:paraId="0000007E">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345433" cy="1376363"/>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345433" cy="1376363"/>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347788" cy="1367608"/>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347788" cy="13676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Logistic regression                                                    SVC</w:t>
      </w:r>
    </w:p>
    <w:p w:rsidR="00000000" w:rsidDel="00000000" w:rsidP="00000000" w:rsidRDefault="00000000" w:rsidRPr="00000000" w14:paraId="0000008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384230" cy="1443038"/>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38423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                           Naive Bayes </w:t>
      </w:r>
    </w:p>
    <w:p w:rsidR="00000000" w:rsidDel="00000000" w:rsidP="00000000" w:rsidRDefault="00000000" w:rsidRPr="00000000" w14:paraId="00000084">
      <w:pPr>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From confusion matrix output, and we get correct and incorrect predictions.</w:t>
      </w:r>
    </w:p>
    <w:p w:rsidR="00000000" w:rsidDel="00000000" w:rsidP="00000000" w:rsidRDefault="00000000" w:rsidRPr="00000000" w14:paraId="00000086">
      <w:pPr>
        <w:numPr>
          <w:ilvl w:val="0"/>
          <w:numId w:val="9"/>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CONCLUSION</w:t>
      </w:r>
    </w:p>
    <w:p w:rsidR="00000000" w:rsidDel="00000000" w:rsidP="00000000" w:rsidRDefault="00000000" w:rsidRPr="00000000" w14:paraId="00000087">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see varied results across the algorithms. Each has its own merits and demerits. </w:t>
      </w:r>
    </w:p>
    <w:p w:rsidR="00000000" w:rsidDel="00000000" w:rsidP="00000000" w:rsidRDefault="00000000" w:rsidRPr="00000000" w14:paraId="00000089">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A">
      <w:pPr>
        <w:ind w:lef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Looking at the confusion matrices, the values of incorrect predictions were higher for Naive Bayes and less for SVM. The correct prediction was higher for logistic regression and less for Naive Bayes </w:t>
      </w:r>
    </w:p>
    <w:p w:rsidR="00000000" w:rsidDel="00000000" w:rsidP="00000000" w:rsidRDefault="00000000" w:rsidRPr="00000000" w14:paraId="0000008B">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Logistic Regression proved to be the most accurate, while Support Vector Classification proved to be the most precise. Support Vector Classification and Logistic Regression are very similar in their performance metrics. Naive Bayes Classification renders generally lower performance metrics and thus becomes the least ideal choice.</w:t>
      </w:r>
    </w:p>
    <w:p w:rsidR="00000000" w:rsidDel="00000000" w:rsidP="00000000" w:rsidRDefault="00000000" w:rsidRPr="00000000" w14:paraId="0000008D">
      <w:pPr>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E">
      <w:pPr>
        <w:numPr>
          <w:ilvl w:val="0"/>
          <w:numId w:val="9"/>
        </w:numPr>
        <w:ind w:left="720" w:firstLine="0"/>
        <w:jc w:val="center"/>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 REFERENCES</w:t>
      </w:r>
    </w:p>
    <w:p w:rsidR="00000000" w:rsidDel="00000000" w:rsidP="00000000" w:rsidRDefault="00000000" w:rsidRPr="00000000" w14:paraId="0000008F">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[1]“12.1 - Logistic Regression | STAT 462,” </w:t>
      </w:r>
      <w:r w:rsidDel="00000000" w:rsidR="00000000" w:rsidRPr="00000000">
        <w:rPr>
          <w:rFonts w:ascii="Times New Roman" w:cs="Times New Roman" w:eastAsia="Times New Roman" w:hAnsi="Times New Roman"/>
          <w:i w:val="1"/>
          <w:sz w:val="20"/>
          <w:szCs w:val="20"/>
          <w:highlight w:val="white"/>
          <w:rtl w:val="0"/>
        </w:rPr>
        <w:t xml:space="preserve">12.1 - Logistic Regression | STAT 462</w:t>
      </w:r>
      <w:r w:rsidDel="00000000" w:rsidR="00000000" w:rsidRPr="00000000">
        <w:rPr>
          <w:rFonts w:ascii="Times New Roman" w:cs="Times New Roman" w:eastAsia="Times New Roman" w:hAnsi="Times New Roman"/>
          <w:sz w:val="20"/>
          <w:szCs w:val="20"/>
          <w:highlight w:val="white"/>
          <w:rtl w:val="0"/>
        </w:rPr>
        <w:t xml:space="preserve">. [Online]. Available: </w:t>
      </w:r>
      <w:hyperlink r:id="rId24">
        <w:r w:rsidDel="00000000" w:rsidR="00000000" w:rsidRPr="00000000">
          <w:rPr>
            <w:rFonts w:ascii="Times New Roman" w:cs="Times New Roman" w:eastAsia="Times New Roman" w:hAnsi="Times New Roman"/>
            <w:color w:val="1155cc"/>
            <w:sz w:val="20"/>
            <w:szCs w:val="20"/>
            <w:highlight w:val="white"/>
            <w:u w:val="single"/>
            <w:rtl w:val="0"/>
          </w:rPr>
          <w:t xml:space="preserve">https://online.stat.psu.edu/stat462/node/207/</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[1]S. R. Publishing, “Churn Prediction Using Machine Learning and Recommendations Plans for Telecoms,” </w:t>
      </w:r>
      <w:r w:rsidDel="00000000" w:rsidR="00000000" w:rsidRPr="00000000">
        <w:rPr>
          <w:rFonts w:ascii="Times New Roman" w:cs="Times New Roman" w:eastAsia="Times New Roman" w:hAnsi="Times New Roman"/>
          <w:i w:val="1"/>
          <w:sz w:val="20"/>
          <w:szCs w:val="20"/>
          <w:highlight w:val="white"/>
          <w:rtl w:val="0"/>
        </w:rPr>
        <w:t xml:space="preserve">Churn Prediction Using Machine Learning and Recommendations Plans for Telecoms</w:t>
      </w:r>
      <w:r w:rsidDel="00000000" w:rsidR="00000000" w:rsidRPr="00000000">
        <w:rPr>
          <w:rFonts w:ascii="Times New Roman" w:cs="Times New Roman" w:eastAsia="Times New Roman" w:hAnsi="Times New Roman"/>
          <w:sz w:val="20"/>
          <w:szCs w:val="20"/>
          <w:highlight w:val="white"/>
          <w:rtl w:val="0"/>
        </w:rPr>
        <w:t xml:space="preserve">, Nov. 05, 2019. [Online]. Available: </w:t>
      </w:r>
      <w:hyperlink r:id="rId25">
        <w:r w:rsidDel="00000000" w:rsidR="00000000" w:rsidRPr="00000000">
          <w:rPr>
            <w:rFonts w:ascii="Times New Roman" w:cs="Times New Roman" w:eastAsia="Times New Roman" w:hAnsi="Times New Roman"/>
            <w:color w:val="1155cc"/>
            <w:sz w:val="20"/>
            <w:szCs w:val="20"/>
            <w:highlight w:val="white"/>
            <w:u w:val="single"/>
            <w:rtl w:val="0"/>
          </w:rPr>
          <w:t xml:space="preserve">https://www.scirp.org/html/3-1731142_96177.htm</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1">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[1]“Naive Bayes Classifier in Machine Learning - Javatpoint,” </w:t>
      </w:r>
      <w:r w:rsidDel="00000000" w:rsidR="00000000" w:rsidRPr="00000000">
        <w:rPr>
          <w:rFonts w:ascii="Times New Roman" w:cs="Times New Roman" w:eastAsia="Times New Roman" w:hAnsi="Times New Roman"/>
          <w:i w:val="1"/>
          <w:sz w:val="20"/>
          <w:szCs w:val="20"/>
          <w:highlight w:val="white"/>
          <w:rtl w:val="0"/>
        </w:rPr>
        <w:t xml:space="preserve">www.javatpoint.com</w:t>
      </w:r>
      <w:r w:rsidDel="00000000" w:rsidR="00000000" w:rsidRPr="00000000">
        <w:rPr>
          <w:rFonts w:ascii="Times New Roman" w:cs="Times New Roman" w:eastAsia="Times New Roman" w:hAnsi="Times New Roman"/>
          <w:sz w:val="20"/>
          <w:szCs w:val="20"/>
          <w:highlight w:val="white"/>
          <w:rtl w:val="0"/>
        </w:rPr>
        <w:t xml:space="preserve">. [Online]. Available: </w:t>
      </w:r>
      <w:hyperlink r:id="rId26">
        <w:r w:rsidDel="00000000" w:rsidR="00000000" w:rsidRPr="00000000">
          <w:rPr>
            <w:rFonts w:ascii="Times New Roman" w:cs="Times New Roman" w:eastAsia="Times New Roman" w:hAnsi="Times New Roman"/>
            <w:color w:val="1155cc"/>
            <w:sz w:val="20"/>
            <w:szCs w:val="20"/>
            <w:highlight w:val="white"/>
            <w:u w:val="single"/>
            <w:rtl w:val="0"/>
          </w:rPr>
          <w:t xml:space="preserve">https://www.javatpoint.com/machine-learning-naive-bayes-classifier</w:t>
        </w:r>
      </w:hyperlink>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Ahmad, A. K., Jafar, A., &amp; Aljoumaa, K. (2019, March 20). Customer churn prediction in telecom using machine learning in big data platform. Journal of Big Data, 6(1). </w:t>
      </w:r>
      <w:hyperlink r:id="rId27">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https://doi.org/10.1186/s40537-019-0191-6</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highlight w:val="white"/>
        </w:rPr>
        <w:sectPr>
          <w:type w:val="continuous"/>
          <w:pgSz w:h="15840" w:w="12240" w:orient="portrait"/>
          <w:pgMar w:bottom="1440" w:top="1440" w:left="1440" w:right="1440" w:header="720" w:footer="720"/>
          <w:cols w:equalWidth="0" w:num="2">
            <w:col w:space="180" w:w="4590"/>
            <w:col w:space="0" w:w="4590"/>
          </w:cols>
        </w:sectPr>
      </w:pPr>
      <w:r w:rsidDel="00000000" w:rsidR="00000000" w:rsidRPr="00000000">
        <w:rPr>
          <w:rtl w:val="0"/>
        </w:rPr>
      </w:r>
    </w:p>
    <w:p w:rsidR="00000000" w:rsidDel="00000000" w:rsidP="00000000" w:rsidRDefault="00000000" w:rsidRPr="00000000" w14:paraId="00000097">
      <w:pPr>
        <w:ind w:left="0" w:firstLine="0"/>
        <w:jc w:val="left"/>
        <w:rPr>
          <w:rFonts w:ascii="Times New Roman" w:cs="Times New Roman" w:eastAsia="Times New Roman" w:hAnsi="Times New Roman"/>
          <w:sz w:val="20"/>
          <w:szCs w:val="20"/>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Roman"/>
      <w:lvlText w:val="%1."/>
      <w:lvlJc w:val="right"/>
      <w:pPr>
        <w:ind w:left="720" w:firstLine="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upperRoman"/>
      <w:lvlText w:val="%1."/>
      <w:lvlJc w:val="right"/>
      <w:pPr>
        <w:ind w:left="720" w:firstLine="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yQ5No-dFUdl9hPT6nHA-ajK4If53K1id?usp=sharing#scrollTo=AxIXOx1BWUrH" TargetMode="External"/><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hyperlink" Target="https://online.stat.psu.edu/stat462/node/207/"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hnish.m@ahduni.edu.in" TargetMode="External"/><Relationship Id="rId26" Type="http://schemas.openxmlformats.org/officeDocument/2006/relationships/hyperlink" Target="https://www.javatpoint.com/machine-learning-naive-bayes-classifier" TargetMode="External"/><Relationship Id="rId25" Type="http://schemas.openxmlformats.org/officeDocument/2006/relationships/hyperlink" Target="https://www.scirp.org/html/3-1731142_96177.htm" TargetMode="External"/><Relationship Id="rId27" Type="http://schemas.openxmlformats.org/officeDocument/2006/relationships/hyperlink" Target="https://doi.org/10.1186/s40537-019-0191-6" TargetMode="External"/><Relationship Id="rId5" Type="http://schemas.openxmlformats.org/officeDocument/2006/relationships/styles" Target="styles.xml"/><Relationship Id="rId6" Type="http://schemas.openxmlformats.org/officeDocument/2006/relationships/hyperlink" Target="mailto:priya.j@ahduni.edu.in" TargetMode="External"/><Relationship Id="rId7" Type="http://schemas.openxmlformats.org/officeDocument/2006/relationships/hyperlink" Target="mailto:yansi.m@ahduni.edu.in" TargetMode="External"/><Relationship Id="rId8" Type="http://schemas.openxmlformats.org/officeDocument/2006/relationships/hyperlink" Target="mailto:priyanshu.p@ahduni.edu.in" TargetMode="External"/><Relationship Id="rId11" Type="http://schemas.openxmlformats.org/officeDocument/2006/relationships/hyperlink" Target="https://www.codecogs.com/eqnedit.php?latex=%20%5Cpi%20%3D%20#0" TargetMode="External"/><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hyperlink" Target="https://www.codecogs.com/eqnedit.php?latex=%5Cpi(%20Y%3Dk%20)#0" TargetMode="External"/><Relationship Id="rId19" Type="http://schemas.openxmlformats.org/officeDocument/2006/relationships/image" Target="media/image1.png"/><Relationship Id="rId18" Type="http://schemas.openxmlformats.org/officeDocument/2006/relationships/hyperlink" Target="https://www.codecogs.com/eqnedit.php?latex=%20k%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