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D2D4D">
      <w:pPr>
        <w:pStyle w:val="36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Цифровой портал </w:t>
      </w:r>
      <w:r>
        <w:rPr>
          <w:rFonts w:hint="default" w:ascii="Times New Roman Regular" w:hAnsi="Times New Roman Regular" w:cs="Times New Roman Regular"/>
          <w:lang w:val="en-US"/>
        </w:rPr>
        <w:t>ППК</w:t>
      </w:r>
      <w:r>
        <w:rPr>
          <w:rFonts w:hint="default" w:ascii="Times New Roman Regular" w:hAnsi="Times New Roman Regular" w:cs="Times New Roman Regular"/>
          <w:lang w:val="en-US"/>
        </w:rPr>
        <w:t xml:space="preserve"> МГПУ</w:t>
      </w:r>
      <w:r>
        <w:rPr>
          <w:rFonts w:hint="default" w:ascii="Times New Roman Regular" w:hAnsi="Times New Roman Regular" w:cs="Times New Roman Regular"/>
          <w:sz w:val="4"/>
        </w:rPr>
        <w:t> </w:t>
      </w:r>
    </w:p>
    <w:p w14:paraId="34599191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Краткое предложение</w:t>
      </w:r>
    </w:p>
    <w:p w14:paraId="623E7C2E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Предлагается создать единый цифровой портал для педагогов, кураторов и организаторов психолого-педагогических классов</w:t>
      </w:r>
      <w:r>
        <w:rPr>
          <w:rFonts w:hint="default" w:ascii="Times New Roman Regular" w:hAnsi="Times New Roman Regular" w:cs="Times New Roman Regular"/>
          <w:lang w:val="en-US"/>
        </w:rPr>
        <w:t xml:space="preserve"> на базе сервера МПГУ или в качестве самостоятельного сервиса</w:t>
      </w:r>
      <w:r>
        <w:rPr>
          <w:rFonts w:hint="default" w:ascii="Times New Roman Regular" w:hAnsi="Times New Roman Regular" w:cs="Times New Roman Regular"/>
        </w:rPr>
        <w:t>. Портал объединит методические материалы, короткие учебные курсы, каталог специалистов</w:t>
      </w:r>
      <w:r>
        <w:rPr>
          <w:rFonts w:hint="default" w:ascii="Times New Roman Regular" w:hAnsi="Times New Roman Regular" w:cs="Times New Roman Regular"/>
          <w:lang w:val="en-US"/>
        </w:rPr>
        <w:t xml:space="preserve"> (категории: учителя-лекторы, преподаватели МПГУ, студенты-волонтёры, административный состав)</w:t>
      </w:r>
      <w:r>
        <w:rPr>
          <w:rFonts w:hint="default" w:ascii="Times New Roman Regular" w:hAnsi="Times New Roman Regular" w:cs="Times New Roman Regular"/>
        </w:rPr>
        <w:t>, планирование встреч, архив проведённых мероприятий и календарь научных и образовательных событий.</w:t>
      </w:r>
    </w:p>
    <w:p w14:paraId="3C337A82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В основу можно положить</w:t>
      </w:r>
      <w:r>
        <w:rPr>
          <w:rFonts w:hint="default" w:ascii="Times New Roman Regular" w:hAnsi="Times New Roman Regular" w:cs="Times New Roman Regular"/>
          <w:lang w:val="en-US"/>
        </w:rPr>
        <w:t xml:space="preserve"> следующую</w:t>
      </w:r>
      <w:r>
        <w:rPr>
          <w:rFonts w:hint="default" w:ascii="Times New Roman Regular" w:hAnsi="Times New Roman Regular" w:cs="Times New Roman Regular"/>
        </w:rPr>
        <w:t xml:space="preserve"> логику: персональные карточки, совместные проекты, каталоги, календарь и уведомления. Центральной сущностью нового портала станет карточка плана урока или методического материала</w:t>
      </w:r>
      <w:r>
        <w:rPr>
          <w:rFonts w:hint="default" w:ascii="Times New Roman Regular" w:hAnsi="Times New Roman Regular" w:cs="Times New Roman Regular"/>
          <w:lang w:val="en-US"/>
        </w:rPr>
        <w:t xml:space="preserve"> для масштабирования опыта</w:t>
      </w:r>
      <w:r>
        <w:rPr>
          <w:rFonts w:hint="default" w:ascii="Times New Roman Regular" w:hAnsi="Times New Roman Regular" w:cs="Times New Roman Regular"/>
        </w:rPr>
        <w:t xml:space="preserve">. </w:t>
      </w:r>
      <w:r>
        <w:rPr>
          <w:rFonts w:hint="default" w:ascii="Times New Roman Regular" w:hAnsi="Times New Roman Regular" w:cs="Times New Roman Regular"/>
          <w:lang w:val="en-US"/>
        </w:rPr>
        <w:t>Предлагается к</w:t>
      </w:r>
      <w:r>
        <w:rPr>
          <w:rFonts w:hint="default" w:ascii="Times New Roman Regular" w:hAnsi="Times New Roman Regular" w:cs="Times New Roman Regular"/>
        </w:rPr>
        <w:t>аталог педагогов и спикеров</w:t>
      </w:r>
      <w:r>
        <w:rPr>
          <w:rFonts w:hint="default" w:ascii="Times New Roman Regular" w:hAnsi="Times New Roman Regular" w:cs="Times New Roman Regular"/>
          <w:lang w:val="en-US"/>
        </w:rPr>
        <w:t xml:space="preserve"> с карточками и связью</w:t>
      </w:r>
      <w:r>
        <w:rPr>
          <w:rFonts w:hint="default" w:ascii="Times New Roman Regular" w:hAnsi="Times New Roman Regular" w:cs="Times New Roman Regular"/>
        </w:rPr>
        <w:t xml:space="preserve">, а </w:t>
      </w:r>
      <w:r>
        <w:rPr>
          <w:rFonts w:hint="default" w:ascii="Times New Roman Regular" w:hAnsi="Times New Roman Regular" w:cs="Times New Roman Regular"/>
          <w:lang w:val="en-US"/>
        </w:rPr>
        <w:t xml:space="preserve">также каталог </w:t>
      </w:r>
      <w:r>
        <w:rPr>
          <w:rFonts w:hint="default" w:ascii="Times New Roman Regular" w:hAnsi="Times New Roman Regular" w:cs="Times New Roman Regular"/>
        </w:rPr>
        <w:t>научны</w:t>
      </w:r>
      <w:r>
        <w:rPr>
          <w:rFonts w:hint="default" w:ascii="Times New Roman Regular" w:hAnsi="Times New Roman Regular" w:cs="Times New Roman Regular"/>
          <w:lang w:val="en-US"/>
        </w:rPr>
        <w:t>х</w:t>
      </w:r>
      <w:r>
        <w:rPr>
          <w:rFonts w:hint="default" w:ascii="Times New Roman Regular" w:hAnsi="Times New Roman Regular" w:cs="Times New Roman Regular"/>
        </w:rPr>
        <w:t>, методически</w:t>
      </w:r>
      <w:r>
        <w:rPr>
          <w:rFonts w:hint="default" w:ascii="Times New Roman Regular" w:hAnsi="Times New Roman Regular" w:cs="Times New Roman Regular"/>
          <w:lang w:val="en-US"/>
        </w:rPr>
        <w:t>х</w:t>
      </w:r>
      <w:r>
        <w:rPr>
          <w:rFonts w:hint="default" w:ascii="Times New Roman Regular" w:hAnsi="Times New Roman Regular" w:cs="Times New Roman Regular"/>
        </w:rPr>
        <w:t xml:space="preserve"> и профориентационны</w:t>
      </w:r>
      <w:r>
        <w:rPr>
          <w:rFonts w:hint="default" w:ascii="Times New Roman Regular" w:hAnsi="Times New Roman Regular" w:cs="Times New Roman Regular"/>
          <w:lang w:val="en-US"/>
        </w:rPr>
        <w:t>х</w:t>
      </w:r>
      <w:r>
        <w:rPr>
          <w:rFonts w:hint="default" w:ascii="Times New Roman Regular" w:hAnsi="Times New Roman Regular" w:cs="Times New Roman Regular"/>
        </w:rPr>
        <w:t xml:space="preserve"> событи</w:t>
      </w:r>
      <w:r>
        <w:rPr>
          <w:rFonts w:hint="default" w:ascii="Times New Roman Regular" w:hAnsi="Times New Roman Regular" w:cs="Times New Roman Regular"/>
          <w:lang w:val="en-US"/>
        </w:rPr>
        <w:t>й</w:t>
      </w:r>
      <w:r>
        <w:rPr>
          <w:rFonts w:hint="default" w:ascii="Times New Roman Regular" w:hAnsi="Times New Roman Regular" w:cs="Times New Roman Regular"/>
        </w:rPr>
        <w:t>.</w:t>
      </w:r>
    </w:p>
    <w:p w14:paraId="105B620E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Для аудитории около 600 зарегистрированных пользователей рекомендуется модульное серверное приложение на Python и FastAPI с базой PostgreSQL. Базовой конфигурации в 4 виртуальных процессорных ядра и 8 ГБ оперативной памяти достаточно, если видеозаписи размещаются во внешнем объектном хранилище или на видеоплатформе.</w:t>
      </w:r>
      <w:r>
        <w:rPr>
          <w:rFonts w:hint="default" w:ascii="Times New Roman Regular" w:hAnsi="Times New Roman Regular" w:cs="Times New Roman Regular"/>
          <w:lang w:val="en-US"/>
        </w:rPr>
        <w:t xml:space="preserve"> Увеличение хранилища потребуется в случае размещения видеоматериалов на том же сервере, а не как встроенных фреймов VK </w:t>
      </w:r>
      <w:r>
        <w:rPr>
          <w:rFonts w:hint="default" w:ascii="Times New Roman Regular" w:hAnsi="Times New Roman Regular" w:cs="Times New Roman Regular"/>
          <w:lang w:val="ru-RU"/>
        </w:rPr>
        <w:t>Видео или иных российских платформ.</w:t>
      </w:r>
    </w:p>
    <w:p w14:paraId="1F7EEA40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Решения для согласования</w:t>
      </w:r>
    </w:p>
    <w:p w14:paraId="1C061B56">
      <w:pPr>
        <w:pStyle w:val="13"/>
        <w:ind w:left="403" w:hanging="40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 xml:space="preserve">1. </w:t>
      </w:r>
      <w:r>
        <w:rPr>
          <w:rFonts w:hint="default" w:ascii="Times New Roman Regular" w:hAnsi="Times New Roman Regular" w:cs="Times New Roman Regular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</w:rPr>
        <w:t xml:space="preserve"> Утвердить состав минимальной версии: материалы, каталог специалистов, события, календарь, уведомления и администрирование.</w:t>
      </w:r>
      <w:r>
        <w:rPr>
          <w:rFonts w:hint="default" w:ascii="Times New Roman Regular" w:hAnsi="Times New Roman Regular" w:cs="Times New Roman Regular"/>
          <w:lang w:val="ru-RU"/>
        </w:rPr>
        <w:t xml:space="preserve"> Также утвердить формат: </w:t>
      </w:r>
      <w:r>
        <w:rPr>
          <w:rFonts w:hint="default" w:ascii="Times New Roman Regular" w:hAnsi="Times New Roman Regular" w:cs="Times New Roman Regular"/>
          <w:lang w:val="en-US"/>
        </w:rPr>
        <w:t xml:space="preserve">MOOC </w:t>
      </w:r>
      <w:r>
        <w:rPr>
          <w:rFonts w:hint="default" w:ascii="Times New Roman Regular" w:hAnsi="Times New Roman Regular" w:cs="Times New Roman Regular"/>
          <w:lang w:val="ru-RU"/>
        </w:rPr>
        <w:t xml:space="preserve">на основе </w:t>
      </w:r>
      <w:r>
        <w:rPr>
          <w:rFonts w:hint="default" w:ascii="Times New Roman Regular" w:hAnsi="Times New Roman Regular" w:cs="Times New Roman Regular"/>
          <w:lang w:val="en-US"/>
        </w:rPr>
        <w:t>Moodle (</w:t>
      </w:r>
      <w:r>
        <w:rPr>
          <w:rFonts w:hint="default" w:ascii="Times New Roman Regular" w:hAnsi="Times New Roman Regular" w:cs="Times New Roman Regular"/>
          <w:lang w:val="ru-RU"/>
        </w:rPr>
        <w:t>аналог Инфода</w:t>
      </w:r>
      <w:r>
        <w:rPr>
          <w:rFonts w:hint="default" w:ascii="Times New Roman Regular" w:hAnsi="Times New Roman Regular" w:cs="Times New Roman Regular"/>
          <w:lang w:val="en-US"/>
        </w:rPr>
        <w:t>)</w:t>
      </w:r>
      <w:r>
        <w:rPr>
          <w:rFonts w:hint="default" w:ascii="Times New Roman Regular" w:hAnsi="Times New Roman Regular" w:cs="Times New Roman Regular"/>
          <w:lang w:val="ru-RU"/>
        </w:rPr>
        <w:t xml:space="preserve"> или портал с собственной системой.</w:t>
      </w:r>
    </w:p>
    <w:p w14:paraId="687BF703">
      <w:pPr>
        <w:pStyle w:val="13"/>
        <w:ind w:left="403" w:hanging="40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2.  Определить круг пилотных школ и представителей, которые примут участие в проверке пользовательских сценариев.</w:t>
      </w:r>
      <w:r>
        <w:rPr>
          <w:rFonts w:hint="default" w:ascii="Times New Roman Regular" w:hAnsi="Times New Roman Regular" w:cs="Times New Roman Regular"/>
          <w:lang w:val="ru-RU"/>
        </w:rPr>
        <w:t xml:space="preserve"> В качестве пилота предлагается включить в будущее тестирование несколько Институтов или факультетов МПГУ и школы-партнёры, имеющие крепкие связи с этими факультетами (базовые).</w:t>
      </w:r>
    </w:p>
    <w:p w14:paraId="0F499D83">
      <w:pPr>
        <w:pStyle w:val="13"/>
        <w:ind w:left="403" w:hanging="40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3.  Согласовать порядок публикации, рецензирования и архивирования методических материалов</w:t>
      </w:r>
      <w:r>
        <w:rPr>
          <w:rFonts w:hint="default" w:ascii="Times New Roman Regular" w:hAnsi="Times New Roman Regular" w:cs="Times New Roman Regular"/>
          <w:lang w:val="ru-RU"/>
        </w:rPr>
        <w:t xml:space="preserve"> и места их дальнейшего хранения и доступа.</w:t>
      </w:r>
    </w:p>
    <w:p w14:paraId="43A7CD35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4.  Определить, будут ли несовершеннолетние прямыми пользователями портала или система на первом этапе будет предназначена только для педагогов и представителей организаций</w:t>
      </w:r>
      <w:r>
        <w:rPr>
          <w:rFonts w:hint="default" w:ascii="Times New Roman Regular" w:hAnsi="Times New Roman Regular" w:cs="Times New Roman Regular"/>
          <w:lang w:val="ru-RU"/>
        </w:rPr>
        <w:t xml:space="preserve"> и преимущество административного состава</w:t>
      </w:r>
      <w:r>
        <w:rPr>
          <w:rFonts w:hint="default" w:ascii="Times New Roman Regular" w:hAnsi="Times New Roman Regular" w:cs="Times New Roman Regular"/>
        </w:rPr>
        <w:t>.</w:t>
      </w:r>
    </w:p>
    <w:p w14:paraId="21858931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Содержание</w:t>
      </w:r>
    </w:p>
    <w:p w14:paraId="54BA03CF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  Назначение и цели</w:t>
      </w:r>
    </w:p>
    <w:p w14:paraId="2A148A07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2  Пользователи и роли</w:t>
      </w:r>
    </w:p>
    <w:p w14:paraId="48D2BB5F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 Функциональная модель</w:t>
      </w:r>
    </w:p>
    <w:p w14:paraId="163A2FB8">
      <w:pPr>
        <w:spacing w:after="80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 xml:space="preserve">4  </w:t>
      </w:r>
      <w:r>
        <w:rPr>
          <w:rFonts w:hint="default" w:ascii="Times New Roman Regular" w:hAnsi="Times New Roman Regular" w:cs="Times New Roman Regular"/>
          <w:lang w:val="ru-RU"/>
        </w:rPr>
        <w:t>Структура</w:t>
      </w:r>
    </w:p>
    <w:p w14:paraId="1D5C3A67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  Архитектура системы</w:t>
      </w:r>
    </w:p>
    <w:p w14:paraId="72AF558B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6  Технологический стек</w:t>
      </w:r>
    </w:p>
    <w:p w14:paraId="0FB3C5DD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7  Нагрузка и серверные мощности</w:t>
      </w:r>
    </w:p>
    <w:p w14:paraId="56F9F587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8  Информационная безопасность</w:t>
      </w:r>
    </w:p>
    <w:p w14:paraId="6F8E1D84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9  Состав первой версии</w:t>
      </w:r>
    </w:p>
    <w:p w14:paraId="784D7EF1">
      <w:pPr>
        <w:spacing w:after="8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10  Этапы реализации и результат</w:t>
      </w:r>
    </w:p>
    <w:p w14:paraId="617FB7B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page"/>
      </w:r>
    </w:p>
    <w:p w14:paraId="781DF737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 Назначение и цели</w:t>
      </w:r>
    </w:p>
    <w:p w14:paraId="133B256C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Портал предназначен для научно-методического сопровождения психолого-педагогических классов. Он должен сократить время поиска проверенных материалов и специалистов, упростить организацию мероприятий и сохранить результаты совместной работы школ, педагогов и научно-методического совет</w:t>
      </w:r>
      <w:r>
        <w:rPr>
          <w:rFonts w:hint="default" w:ascii="Times New Roman Regular" w:hAnsi="Times New Roman Regular" w:cs="Times New Roman Regular"/>
          <w:lang w:val="ru-RU"/>
        </w:rPr>
        <w:t>а, обеспечивая, в том числе, масштабирование уже реализуемых инициатив и практик</w:t>
      </w:r>
      <w:r>
        <w:rPr>
          <w:rFonts w:hint="default" w:ascii="Times New Roman Regular" w:hAnsi="Times New Roman Regular" w:cs="Times New Roman Regular"/>
        </w:rPr>
        <w:t>.</w:t>
      </w:r>
    </w:p>
    <w:p w14:paraId="72C0570D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Цели проекта</w:t>
      </w:r>
    </w:p>
    <w:p w14:paraId="1668B7BE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создать единое пространство методических материалов и коротких учебных курсов;</w:t>
      </w:r>
    </w:p>
    <w:p w14:paraId="477A4E88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дать педагогам инструменты совместной подготовки и обсуждения разработок</w:t>
      </w:r>
      <w:r>
        <w:rPr>
          <w:rFonts w:hint="default" w:ascii="Times New Roman Regular" w:hAnsi="Times New Roman Regular" w:cs="Times New Roman Regular"/>
          <w:lang w:val="ru-RU"/>
        </w:rPr>
        <w:t>, в том числе в асинхронном формате</w:t>
      </w:r>
      <w:r>
        <w:rPr>
          <w:rFonts w:hint="default" w:ascii="Times New Roman Regular" w:hAnsi="Times New Roman Regular" w:cs="Times New Roman Regular"/>
        </w:rPr>
        <w:t>;</w:t>
      </w:r>
    </w:p>
    <w:p w14:paraId="78944ABC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упростить поиск и приглашение педагогов, исследователей и спикеров</w:t>
      </w:r>
      <w:r>
        <w:rPr>
          <w:rFonts w:hint="default" w:ascii="Times New Roman Regular" w:hAnsi="Times New Roman Regular" w:cs="Times New Roman Regular"/>
          <w:lang w:val="ru-RU"/>
        </w:rPr>
        <w:t xml:space="preserve"> и информирование участников</w:t>
      </w:r>
      <w:r>
        <w:rPr>
          <w:rFonts w:hint="default" w:ascii="Times New Roman Regular" w:hAnsi="Times New Roman Regular" w:cs="Times New Roman Regular"/>
        </w:rPr>
        <w:t>;</w:t>
      </w:r>
    </w:p>
    <w:p w14:paraId="6F58020D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объединить встречи, конференции, фестивали и другие события в общем календаре</w:t>
      </w:r>
      <w:r>
        <w:rPr>
          <w:rFonts w:hint="default" w:ascii="Times New Roman Regular" w:hAnsi="Times New Roman Regular" w:cs="Times New Roman Regular"/>
          <w:lang w:val="ru-RU"/>
        </w:rPr>
        <w:t xml:space="preserve"> с возможностью экспорта календаря в системы управления образовательными учреждениями</w:t>
      </w:r>
      <w:r>
        <w:rPr>
          <w:rFonts w:hint="default" w:ascii="Times New Roman Regular" w:hAnsi="Times New Roman Regular" w:cs="Times New Roman Regular"/>
        </w:rPr>
        <w:t>;</w:t>
      </w:r>
    </w:p>
    <w:p w14:paraId="7B53330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сформировать архив записей, презентаций и итоговых материалов;</w:t>
      </w:r>
    </w:p>
    <w:p w14:paraId="1A7A03B4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предоставить совету статистику активности школ и востребованности материалов.</w:t>
      </w:r>
    </w:p>
    <w:p w14:paraId="0E30C27F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Границы первой версии</w:t>
      </w:r>
    </w:p>
    <w:p w14:paraId="3438906D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Первая версия не должна заменять полноценную систему дистанционного обучения или видеоконференций. Она организует материалы и взаимодействие, хранит прогресс по простым мини-курсам</w:t>
      </w:r>
      <w:r>
        <w:rPr>
          <w:rFonts w:hint="default" w:ascii="Times New Roman Regular" w:hAnsi="Times New Roman Regular" w:cs="Times New Roman Regular"/>
          <w:lang w:val="ru-RU"/>
        </w:rPr>
        <w:t xml:space="preserve"> (как каталог)</w:t>
      </w:r>
      <w:r>
        <w:rPr>
          <w:rFonts w:hint="default" w:ascii="Times New Roman Regular" w:hAnsi="Times New Roman Regular" w:cs="Times New Roman Regular"/>
        </w:rPr>
        <w:t xml:space="preserve"> и направляет пользователя во внешний сервис для участия в видеовстрече. Это снижает стоимость запуска и технические риски.</w:t>
      </w:r>
    </w:p>
    <w:p w14:paraId="723AC0B9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2 Пользователи и роли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2"/>
        <w:gridCol w:w="6648"/>
      </w:tblGrid>
      <w:tr w14:paraId="5E842530">
        <w:trPr>
          <w:tblHeader/>
          <w:jc w:val="center"/>
        </w:trPr>
        <w:tc>
          <w:tcPr>
            <w:tcW w:w="3202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46055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Роль</w:t>
            </w:r>
          </w:p>
        </w:tc>
        <w:tc>
          <w:tcPr>
            <w:tcW w:w="6648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2FACD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Основные возможности</w:t>
            </w:r>
          </w:p>
        </w:tc>
      </w:tr>
      <w:tr w14:paraId="716E8642">
        <w:trPr>
          <w:jc w:val="center"/>
        </w:trPr>
        <w:tc>
          <w:tcPr>
            <w:tcW w:w="32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6F612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Педагог</w:t>
            </w:r>
          </w:p>
        </w:tc>
        <w:tc>
          <w:tcPr>
            <w:tcW w:w="6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38E77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Создание и использование планов уроков, участие в курсах и мероприятиях, избранное</w:t>
            </w:r>
          </w:p>
        </w:tc>
      </w:tr>
      <w:tr w14:paraId="2AD9001C">
        <w:trPr>
          <w:jc w:val="center"/>
        </w:trPr>
        <w:tc>
          <w:tcPr>
            <w:tcW w:w="320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07FC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Куратор класса</w:t>
            </w:r>
          </w:p>
        </w:tc>
        <w:tc>
          <w:tcPr>
            <w:tcW w:w="664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FC410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Планирование работы класса, встреч и участия в событиях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>, возможность создавать события</w:t>
            </w:r>
          </w:p>
        </w:tc>
      </w:tr>
      <w:tr w14:paraId="520D1975">
        <w:trPr>
          <w:jc w:val="center"/>
        </w:trPr>
        <w:tc>
          <w:tcPr>
            <w:tcW w:w="32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8905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Эксперт или спикер</w:t>
            </w:r>
          </w:p>
        </w:tc>
        <w:tc>
          <w:tcPr>
            <w:tcW w:w="6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CC5C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Профиль специалиста, темы выступлений, доступность, работа с приглашениями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 xml:space="preserve"> и прием заявок на выступления</w:t>
            </w:r>
          </w:p>
        </w:tc>
      </w:tr>
      <w:tr w14:paraId="7E0CFE20">
        <w:trPr>
          <w:jc w:val="center"/>
        </w:trPr>
        <w:tc>
          <w:tcPr>
            <w:tcW w:w="320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CDA1B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Представитель школы</w:t>
            </w:r>
          </w:p>
        </w:tc>
        <w:tc>
          <w:tcPr>
            <w:tcW w:w="664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4871D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Профиль организации и координация пользователей школы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>, создание событий и заявок</w:t>
            </w:r>
          </w:p>
        </w:tc>
      </w:tr>
      <w:tr w14:paraId="0D659E4F">
        <w:trPr>
          <w:jc w:val="center"/>
        </w:trPr>
        <w:tc>
          <w:tcPr>
            <w:tcW w:w="32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8F631B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Методист</w:t>
            </w:r>
          </w:p>
        </w:tc>
        <w:tc>
          <w:tcPr>
            <w:tcW w:w="6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3CD2B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Рецензирование, систематизация и публикация материалов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 xml:space="preserve">, работа с </w:t>
            </w:r>
            <w:r>
              <w:rPr>
                <w:rFonts w:hint="default" w:ascii="Times New Roman Regular" w:hAnsi="Times New Roman Regular" w:cs="Times New Roman Regular"/>
                <w:sz w:val="18"/>
                <w:lang w:val="en-US"/>
              </w:rPr>
              <w:t xml:space="preserve">API 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>соцсетей (в будущем)</w:t>
            </w:r>
          </w:p>
        </w:tc>
      </w:tr>
      <w:tr w14:paraId="44F10AE9">
        <w:trPr>
          <w:jc w:val="center"/>
        </w:trPr>
        <w:tc>
          <w:tcPr>
            <w:tcW w:w="320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34A4BB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Член совета</w:t>
            </w:r>
          </w:p>
        </w:tc>
        <w:tc>
          <w:tcPr>
            <w:tcW w:w="664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36BCA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Тематические подборки, рекомендации, программа мероприятий и аналитика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>; расширенный профиль эксперта с доступом к массовой рассылке</w:t>
            </w:r>
          </w:p>
        </w:tc>
      </w:tr>
      <w:tr w14:paraId="0D1ECB2C">
        <w:trPr>
          <w:jc w:val="center"/>
        </w:trPr>
        <w:tc>
          <w:tcPr>
            <w:tcW w:w="32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79D2C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Администратор</w:t>
            </w:r>
          </w:p>
        </w:tc>
        <w:tc>
          <w:tcPr>
            <w:tcW w:w="6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118BB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Пользователи, роли, справочники, модерация, выгрузки и настройки</w:t>
            </w:r>
          </w:p>
        </w:tc>
      </w:tr>
    </w:tbl>
    <w:p w14:paraId="52A16EA9">
      <w:pPr>
        <w:spacing w:after="0"/>
        <w:rPr>
          <w:rFonts w:hint="default" w:ascii="Times New Roman Regular" w:hAnsi="Times New Roman Regular" w:cs="Times New Roman Regular"/>
        </w:rPr>
      </w:pPr>
    </w:p>
    <w:p w14:paraId="0A8EC051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Права должны назначаться явно: например, статус спикера или методиста подтверждается администратором, а автор материала не получает право самостоятельно утвердить собственную публикацию.</w:t>
      </w:r>
    </w:p>
    <w:p w14:paraId="46F7285D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Функциональная модель</w:t>
      </w:r>
    </w:p>
    <w:p w14:paraId="6EC36469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1 Методические материалы и планы уроков</w:t>
      </w:r>
    </w:p>
    <w:p w14:paraId="54A00A48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Центральная сущность портала — карточка методического материала. Она может описывать план урока, сценарий встречи, практическое задание, подборку источников или самостоятельную методическую разработку</w:t>
      </w:r>
      <w:r>
        <w:rPr>
          <w:rFonts w:hint="default" w:ascii="Times New Roman Regular" w:hAnsi="Times New Roman Regular" w:cs="Times New Roman Regular"/>
          <w:lang w:val="ru-RU"/>
        </w:rPr>
        <w:t>:</w:t>
      </w:r>
    </w:p>
    <w:p w14:paraId="49BEAB55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название, автор, организация и соавторы;</w:t>
      </w:r>
    </w:p>
    <w:p w14:paraId="4CB104A7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предметная область, тема, возраст или класс обучающихся;</w:t>
      </w:r>
    </w:p>
    <w:p w14:paraId="0CB4279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цели, планируемые результаты и продолжительность;</w:t>
      </w:r>
    </w:p>
    <w:p w14:paraId="7C987917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сценарий занятия, задания и необходимые материалы;</w:t>
      </w:r>
    </w:p>
    <w:p w14:paraId="662E016F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файлы, изображения, презентации и внешние ссылки;</w:t>
      </w:r>
    </w:p>
    <w:p w14:paraId="7E02688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методические комментарии, теги и уровень сложности;</w:t>
      </w:r>
    </w:p>
    <w:p w14:paraId="0B1EEEC8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статус: черновик, на рецензировании, опубликован или архивирован;</w:t>
      </w:r>
    </w:p>
    <w:p w14:paraId="0B41FB71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сведения об авторстве и условиях использования.</w:t>
      </w:r>
    </w:p>
    <w:p w14:paraId="6FD62A68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Педагог сможет сохранить материал в избранное, добавить его в личную библиотеку и создать адаптированную копию. Для совместных разработок назначаются соавторы, а обсуждение ведётся в комментариях. История статусов позволит отделить рабочие версии от материалов, официально рекомендованных к использованию.</w:t>
      </w:r>
    </w:p>
    <w:p w14:paraId="60BA7DE2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2 Мини курсы</w:t>
      </w:r>
    </w:p>
    <w:p w14:paraId="2970A978">
      <w:pPr>
        <w:pStyle w:val="13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</w:rPr>
        <w:t>Мини-курс состоит из последовательности небольших модулей. Модуль может содержать текст, видеозапись, презентацию, практическое задание, тест и дополнительные источники. Система сохраняет прогресс пользователя. Подтверждение прохождения или сертификат формируется только при наличии утверждённого регламента.</w:t>
      </w:r>
      <w:r>
        <w:rPr>
          <w:rFonts w:hint="default" w:ascii="Times New Roman Regular" w:hAnsi="Times New Roman Regular" w:cs="Times New Roman Regular"/>
          <w:lang w:val="ru-RU"/>
        </w:rPr>
        <w:t xml:space="preserve"> Возможно рассмотреть в будущем выгрузку некоторых материалов как </w:t>
      </w:r>
      <w:r>
        <w:rPr>
          <w:rFonts w:hint="default" w:ascii="Times New Roman Regular" w:hAnsi="Times New Roman Regular" w:cs="Times New Roman Regular"/>
          <w:lang w:val="en-US"/>
        </w:rPr>
        <w:t xml:space="preserve">pdf. </w:t>
      </w:r>
    </w:p>
    <w:p w14:paraId="38DDECB9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Для запуска достаточно модулей, отметок о прохождении и простого теста. Сложные функции полноценной LMS, включая прокторинг и детальные образовательные траектории, разумно вынести за пределы первой версии.</w:t>
      </w:r>
    </w:p>
    <w:p w14:paraId="76EED4D8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3 Каталог педагогов и спикеров</w:t>
      </w:r>
    </w:p>
    <w:p w14:paraId="28AEE684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Профиль специалиста включает место работы, должность, регион, научные и методические интересы, темы выступлений, доступные форматы, опыт, публикации и периоды доступности. Контактные данные не требуется открывать публично: первичное взаимодействие проходит через внутреннюю заявку.</w:t>
      </w:r>
    </w:p>
    <w:p w14:paraId="1B35FFC3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Организатор находит специалиста по фильтрам и направляет приглашение с темой, форматом, датой и предполагаемой аудиторией. Спикер принимает заявку, отклоняет её или предлагает другое время. После согласования встреча появляется в календарях участников.</w:t>
      </w:r>
      <w:r>
        <w:rPr>
          <w:rFonts w:hint="default" w:ascii="Times New Roman Regular" w:hAnsi="Times New Roman Regular" w:cs="Times New Roman Regular"/>
          <w:lang w:val="ru-RU"/>
        </w:rPr>
        <w:t xml:space="preserve"> </w:t>
      </w:r>
    </w:p>
    <w:p w14:paraId="0D1CED2D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>Аналогично может быть реализован каталог школ и мест, куда спикер может подать заявку для проведения собственного мероприятия.</w:t>
      </w:r>
    </w:p>
    <w:p w14:paraId="0FE36BBA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4 Встречи и архив мероприятий</w:t>
      </w:r>
    </w:p>
    <w:p w14:paraId="75527DEF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Карточка встречи содержит описание, организатора, спикеров, дату, формат, адрес или ссылку, ограничение количества участников и порядок регистрации. Статусы отражают жизненный цикл встречи: планируется, регистрация открыта, проводится, завершена или отменена.</w:t>
      </w:r>
    </w:p>
    <w:p w14:paraId="3A202092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После завершения карточка остаётся доступной в архиве. К ней прикрепляются запись, презентация, ссылки и итоговые документы. Таким образом, разовая встреча становится повторно используемым методическим ресурсом.</w:t>
      </w:r>
    </w:p>
    <w:p w14:paraId="2FACBC29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5 Каталог научных и образовательных событий</w:t>
      </w:r>
    </w:p>
    <w:p w14:paraId="1C41C6C7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Каталог объединяет научные фестивали, педагогические форумы, конференции, олимпиады, профориентационные события, дни открытых дверей, семинары и конкурсы разработок. Фильтры работают по датам, региону, формату, тематике, возрасту участников и организатору. Пользователь может добавить событие в личный календарь или экспортировать его в формате ICS.</w:t>
      </w:r>
    </w:p>
    <w:p w14:paraId="360A0EAD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>Для последующих версий возможен автоматизированный парсинг профильных сайтов для обновления каталога.</w:t>
      </w:r>
    </w:p>
    <w:p w14:paraId="68D9B88D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6 Личный кабинет и календарь</w:t>
      </w:r>
    </w:p>
    <w:p w14:paraId="594C4187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В личном кабинете отображаются собственные черновики, сохранённые материалы, назначенные задачи, текущие курсы, встречи, приглашения, рекомендации и уведомления. Календарь объединяет события, сроки подготовки материалов и индивидуальные напоминания. Интеграцию с внешними календарями можно добавить после пилота.</w:t>
      </w:r>
      <w:r>
        <w:rPr>
          <w:rFonts w:hint="default" w:ascii="Times New Roman Regular" w:hAnsi="Times New Roman Regular" w:cs="Times New Roman Regular"/>
          <w:lang w:val="ru-RU"/>
        </w:rPr>
        <w:t xml:space="preserve"> Добавить выгрузку календаря.</w:t>
      </w:r>
    </w:p>
    <w:p w14:paraId="26E3AEE6">
      <w:pPr>
        <w:pStyle w:val="13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 xml:space="preserve">Аналогично здесь может быть реализована интеграция </w:t>
      </w:r>
      <w:r>
        <w:rPr>
          <w:rFonts w:hint="default" w:ascii="Times New Roman Regular" w:hAnsi="Times New Roman Regular" w:cs="Times New Roman Regular"/>
          <w:lang w:val="en-US"/>
        </w:rPr>
        <w:t xml:space="preserve">API </w:t>
      </w:r>
      <w:r>
        <w:rPr>
          <w:rFonts w:hint="default" w:ascii="Times New Roman Regular" w:hAnsi="Times New Roman Regular" w:cs="Times New Roman Regular"/>
          <w:lang w:val="ru-RU"/>
        </w:rPr>
        <w:t>социальных сетей для подготовки публикаций в официальных каналах и группах образовательных учреждений.</w:t>
      </w:r>
    </w:p>
    <w:p w14:paraId="136AAE3C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 7 Сообщество и администрирование</w:t>
      </w:r>
    </w:p>
    <w:p w14:paraId="4419711F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Раздел сообщества может включать вопросы и ответы, тематические обсуждения, запросы на поиск спикера, предложения совместных проектов и публикации педагогов. Для официального портала необходимы правила модерации, возможность подачи жалобы и разделение публичных и закрытых обсуждений.</w:t>
      </w:r>
    </w:p>
    <w:p w14:paraId="3C21DCF8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Административная панель обеспечивает управление пользователями и ролями, подтверждение экспертов, модерацию материалов, ведение справочников, публикацию новостей, отправку уведомлений, выгрузку статистики и просмотр журнала административных действий.</w:t>
      </w:r>
    </w:p>
    <w:p w14:paraId="0DA98ABF">
      <w:pPr>
        <w:pStyle w:val="2"/>
        <w:keepNext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</w:rPr>
        <w:t>4 С</w:t>
      </w:r>
      <w:r>
        <w:rPr>
          <w:rFonts w:hint="default" w:ascii="Times New Roman Regular" w:hAnsi="Times New Roman Regular" w:cs="Times New Roman Regular"/>
          <w:lang w:val="ru-RU"/>
        </w:rPr>
        <w:t>труктура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5"/>
      </w:tblGrid>
      <w:tr w14:paraId="22AA6E41">
        <w:trPr>
          <w:tblHeader/>
          <w:jc w:val="center"/>
        </w:trPr>
        <w:tc>
          <w:tcPr>
            <w:tcW w:w="4925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A1922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Образовательный портал</w:t>
            </w:r>
          </w:p>
        </w:tc>
      </w:tr>
      <w:tr w14:paraId="771FBAA2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76DB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План урока или методический материал</w:t>
            </w:r>
          </w:p>
        </w:tc>
      </w:tr>
      <w:tr w14:paraId="3E6A8EDC">
        <w:trPr>
          <w:jc w:val="center"/>
        </w:trPr>
        <w:tc>
          <w:tcPr>
            <w:tcW w:w="4925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F5A0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Подготовка или апробация материала</w:t>
            </w:r>
          </w:p>
        </w:tc>
      </w:tr>
      <w:tr w14:paraId="19C56A2C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1D48D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Задачи по подготовке занятия</w:t>
            </w:r>
          </w:p>
        </w:tc>
      </w:tr>
      <w:tr w14:paraId="3B09D605">
        <w:trPr>
          <w:jc w:val="center"/>
        </w:trPr>
        <w:tc>
          <w:tcPr>
            <w:tcW w:w="4925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D0E80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Совместная методическая разработка</w:t>
            </w:r>
          </w:p>
        </w:tc>
      </w:tr>
      <w:tr w14:paraId="0E335EDB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716AF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Каталог педагогов и спикеров</w:t>
            </w:r>
          </w:p>
        </w:tc>
      </w:tr>
      <w:tr w14:paraId="5676DD58">
        <w:trPr>
          <w:jc w:val="center"/>
        </w:trPr>
        <w:tc>
          <w:tcPr>
            <w:tcW w:w="4925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92532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Приглашение специалиста на встречу</w:t>
            </w:r>
          </w:p>
        </w:tc>
      </w:tr>
      <w:tr w14:paraId="6F47017D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463D7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Научное или образовательное событие</w:t>
            </w:r>
          </w:p>
        </w:tc>
      </w:tr>
      <w:tr w14:paraId="0493FA2A">
        <w:trPr>
          <w:jc w:val="center"/>
        </w:trPr>
        <w:tc>
          <w:tcPr>
            <w:tcW w:w="4925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577FE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Подготовительная или методическая встреча</w:t>
            </w:r>
          </w:p>
        </w:tc>
      </w:tr>
      <w:tr w14:paraId="4A1ADBCB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F1E37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Календарь занятий, встреч и мероприятий</w:t>
            </w:r>
          </w:p>
        </w:tc>
      </w:tr>
      <w:tr w14:paraId="719AF824">
        <w:trPr>
          <w:jc w:val="center"/>
        </w:trPr>
        <w:tc>
          <w:tcPr>
            <w:tcW w:w="4925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1794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Профессиональное педагогическое сообщество</w:t>
            </w:r>
          </w:p>
        </w:tc>
      </w:tr>
      <w:tr w14:paraId="088E94BF">
        <w:trPr>
          <w:jc w:val="center"/>
        </w:trPr>
        <w:tc>
          <w:tcPr>
            <w:tcW w:w="492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8611E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Приглашения, напоминания и сообщения</w:t>
            </w:r>
          </w:p>
        </w:tc>
      </w:tr>
    </w:tbl>
    <w:p w14:paraId="5FD1D3E7">
      <w:pPr>
        <w:spacing w:after="0"/>
        <w:rPr>
          <w:rFonts w:hint="default" w:ascii="Times New Roman Regular" w:hAnsi="Times New Roman Regular" w:cs="Times New Roman Regular"/>
          <w:lang w:val="ru-RU"/>
        </w:rPr>
      </w:pPr>
      <w:r>
        <w:rPr>
          <w:rFonts w:hint="default" w:ascii="Times New Roman Regular" w:hAnsi="Times New Roman Regular" w:cs="Times New Roman Regular"/>
          <w:lang w:val="ru-RU"/>
        </w:rPr>
        <w:t>Данный функционал соответствует похожему уже реализованному сервису в другой области, что позволяет копировать техническую реализацию структуры работающего сервиса с 750 участниками и проверенной нагрузкой.</w:t>
      </w:r>
    </w:p>
    <w:p w14:paraId="6376FB5D">
      <w:pPr>
        <w:spacing w:after="0"/>
        <w:rPr>
          <w:rFonts w:hint="default" w:ascii="Times New Roman Regular" w:hAnsi="Times New Roman Regular" w:cs="Times New Roman Regular"/>
          <w:lang w:val="ru-RU"/>
        </w:rPr>
      </w:pPr>
    </w:p>
    <w:p w14:paraId="3AFFEF1B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 В образовательном портале появляются дополнительные процессы: рецензирование, официальная публикация, подтверждение статуса эксперта и связь пользователя с образовательной организацией.</w:t>
      </w:r>
    </w:p>
    <w:p w14:paraId="0F3FCD54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 Архитектура системы</w:t>
      </w:r>
    </w:p>
    <w:p w14:paraId="24753D47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Для аудитории около 600 зарегистрированных участников оптимален модульный монолит: единое серверное приложение с чётко разделёнными функциональными модулями. Оно проще в разработке и эксплуатации, чем набор микросервисов, и при этом допускает последующее выделение наиболее нагруженных компонентов.</w:t>
      </w:r>
    </w:p>
    <w:p w14:paraId="67BEAAD6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Путь пользовательского запроса</w:t>
      </w:r>
    </w:p>
    <w:p w14:paraId="1805E264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1.  Веб-интерфейс принимает действие пользователя и отправляет запрос серверному приложению.</w:t>
      </w:r>
    </w:p>
    <w:p w14:paraId="708AFA5E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2.  Сервер проверяет авторизацию, роль и право на выполнение операции.</w:t>
      </w:r>
    </w:p>
    <w:p w14:paraId="01FB7387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3.  Запрос обрабатывает соответствующий модуль: материалы, курсы, специалисты, встречи, календарь или администрирование.</w:t>
      </w:r>
    </w:p>
    <w:p w14:paraId="7E93604C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4.  Структурированные данные сохраняются в PostgreSQL, а документы и медиаматериалы — в объектном хранилище.</w:t>
      </w:r>
    </w:p>
    <w:p w14:paraId="016C9763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5.  Длительные операции выполняются в фоне: рассылка писем, подготовка выгрузок, обработка файлов и напоминания.</w:t>
      </w:r>
    </w:p>
    <w:p w14:paraId="10CF5108">
      <w:pPr>
        <w:pStyle w:val="13"/>
        <w:ind w:left="403" w:hanging="40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6.  Административные и другие значимые действия записываются в журнал.</w:t>
      </w:r>
    </w:p>
    <w:p w14:paraId="682DAB74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Основные компоненты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6617"/>
      </w:tblGrid>
      <w:tr w14:paraId="41AC7BB2">
        <w:trPr>
          <w:tblHeader/>
          <w:jc w:val="center"/>
        </w:trPr>
        <w:tc>
          <w:tcPr>
            <w:tcW w:w="3233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B26C2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Компонент</w:t>
            </w:r>
          </w:p>
        </w:tc>
        <w:tc>
          <w:tcPr>
            <w:tcW w:w="6617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FE959F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Назначение</w:t>
            </w:r>
          </w:p>
        </w:tc>
      </w:tr>
      <w:tr w14:paraId="2846B0D8">
        <w:trPr>
          <w:jc w:val="center"/>
        </w:trPr>
        <w:tc>
          <w:tcPr>
            <w:tcW w:w="32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6EFB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Веб интерфейс</w:t>
            </w:r>
          </w:p>
        </w:tc>
        <w:tc>
          <w:tcPr>
            <w:tcW w:w="66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582D9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Страницы каталога, карточки, формы, календарь и личный кабинет</w:t>
            </w:r>
          </w:p>
        </w:tc>
      </w:tr>
      <w:tr w14:paraId="3CCE4AD2">
        <w:trPr>
          <w:jc w:val="center"/>
        </w:trPr>
        <w:tc>
          <w:tcPr>
            <w:tcW w:w="323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78A0C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Серверное приложение</w:t>
            </w:r>
          </w:p>
        </w:tc>
        <w:tc>
          <w:tcPr>
            <w:tcW w:w="6617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B196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Бизнес логика, права доступа, API и формирование страниц</w:t>
            </w:r>
          </w:p>
        </w:tc>
      </w:tr>
      <w:tr w14:paraId="2AE4E6CE">
        <w:trPr>
          <w:jc w:val="center"/>
        </w:trPr>
        <w:tc>
          <w:tcPr>
            <w:tcW w:w="32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03035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PostgreSQL</w:t>
            </w:r>
          </w:p>
        </w:tc>
        <w:tc>
          <w:tcPr>
            <w:tcW w:w="66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F1703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Пользователи, роли, материалы, заявки, события и история изменений</w:t>
            </w:r>
          </w:p>
        </w:tc>
      </w:tr>
      <w:tr w14:paraId="4D94E99C">
        <w:trPr>
          <w:jc w:val="center"/>
        </w:trPr>
        <w:tc>
          <w:tcPr>
            <w:tcW w:w="323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B4C4D0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Объектное хранилище</w:t>
            </w:r>
          </w:p>
        </w:tc>
        <w:tc>
          <w:tcPr>
            <w:tcW w:w="6617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94214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Документы, презентации, изображения и видеозаписи</w:t>
            </w:r>
          </w:p>
        </w:tc>
      </w:tr>
      <w:tr w14:paraId="1DA39AE4">
        <w:trPr>
          <w:jc w:val="center"/>
        </w:trPr>
        <w:tc>
          <w:tcPr>
            <w:tcW w:w="32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295B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Redis и очередь</w:t>
            </w:r>
          </w:p>
        </w:tc>
        <w:tc>
          <w:tcPr>
            <w:tcW w:w="66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56FD5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Кэш, временные данные, фоновые задания и ограничение частоты запросов</w:t>
            </w:r>
          </w:p>
        </w:tc>
      </w:tr>
      <w:tr w14:paraId="5803A487">
        <w:trPr>
          <w:jc w:val="center"/>
        </w:trPr>
        <w:tc>
          <w:tcPr>
            <w:tcW w:w="323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B998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Почтовый сервис</w:t>
            </w:r>
          </w:p>
        </w:tc>
        <w:tc>
          <w:tcPr>
            <w:tcW w:w="6617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2807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Подтверждение регистрации, восстановление доступа и уведомления</w:t>
            </w:r>
          </w:p>
        </w:tc>
      </w:tr>
      <w:tr w14:paraId="08F1CF46">
        <w:trPr>
          <w:jc w:val="center"/>
        </w:trPr>
        <w:tc>
          <w:tcPr>
            <w:tcW w:w="32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FC149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Мониторинг</w:t>
            </w:r>
          </w:p>
        </w:tc>
        <w:tc>
          <w:tcPr>
            <w:tcW w:w="661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F2775A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Доступность, ошибки, нагрузка, заполнение диска и сроки сертификатов</w:t>
            </w:r>
          </w:p>
        </w:tc>
      </w:tr>
    </w:tbl>
    <w:p w14:paraId="17BEE9E3">
      <w:pPr>
        <w:spacing w:after="0"/>
        <w:rPr>
          <w:rFonts w:hint="default" w:ascii="Times New Roman Regular" w:hAnsi="Times New Roman Regular" w:cs="Times New Roman Regular"/>
        </w:rPr>
      </w:pPr>
    </w:p>
    <w:p w14:paraId="751EA3CA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На первом этапе сервер может формировать HTML-страницы напрямую, как в действующем </w:t>
      </w:r>
      <w:r>
        <w:rPr>
          <w:rFonts w:hint="default" w:ascii="Times New Roman Regular" w:hAnsi="Times New Roman Regular" w:cs="Times New Roman Regular"/>
          <w:lang w:val="ru-RU"/>
        </w:rPr>
        <w:t>сервисе</w:t>
      </w:r>
      <w:r>
        <w:rPr>
          <w:rFonts w:hint="default" w:ascii="Times New Roman Regular" w:hAnsi="Times New Roman Regular" w:cs="Times New Roman Regular"/>
        </w:rPr>
        <w:t>. Если впоследствии потребуется мобильное приложение или более интерактивный интерфейс, те же модули можно открыть через версионируемый API.</w:t>
      </w:r>
    </w:p>
    <w:p w14:paraId="5E36B31F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6 Технологический стек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2"/>
        <w:gridCol w:w="3854"/>
        <w:gridCol w:w="3283"/>
      </w:tblGrid>
      <w:tr w14:paraId="17C5342D">
        <w:trPr>
          <w:tblHeader/>
          <w:jc w:val="center"/>
        </w:trPr>
        <w:tc>
          <w:tcPr>
            <w:tcW w:w="2712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F92A56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Технология</w:t>
            </w:r>
          </w:p>
        </w:tc>
        <w:tc>
          <w:tcPr>
            <w:tcW w:w="3854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4F9A56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w="3283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4483D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Комментарий</w:t>
            </w:r>
          </w:p>
        </w:tc>
      </w:tr>
      <w:tr w14:paraId="2CB87C4A">
        <w:trPr>
          <w:jc w:val="center"/>
        </w:trPr>
        <w:tc>
          <w:tcPr>
            <w:tcW w:w="27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B9CAA7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Python 3.12</w:t>
            </w:r>
          </w:p>
        </w:tc>
        <w:tc>
          <w:tcPr>
            <w:tcW w:w="385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8366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Серверная разработка</w:t>
            </w:r>
          </w:p>
        </w:tc>
        <w:tc>
          <w:tcPr>
            <w:tcW w:w="32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759903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Совместим с текущей основой</w:t>
            </w:r>
            <w:r>
              <w:rPr>
                <w:rFonts w:hint="default" w:ascii="Times New Roman Regular" w:hAnsi="Times New Roman Regular" w:cs="Times New Roman Regular"/>
                <w:sz w:val="18"/>
                <w:lang w:val="ru-RU"/>
              </w:rPr>
              <w:t xml:space="preserve"> текущего проекта-донора архитектуры</w:t>
            </w:r>
          </w:p>
        </w:tc>
      </w:tr>
      <w:tr w14:paraId="7F5CD8CF">
        <w:trPr>
          <w:jc w:val="center"/>
        </w:trPr>
        <w:tc>
          <w:tcPr>
            <w:tcW w:w="271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CB7B3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FastAPI</w:t>
            </w:r>
          </w:p>
        </w:tc>
        <w:tc>
          <w:tcPr>
            <w:tcW w:w="385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B1852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Веб приложение и API</w:t>
            </w:r>
          </w:p>
        </w:tc>
        <w:tc>
          <w:tcPr>
            <w:tcW w:w="328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84C35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Поддерживает постепенное развитие API</w:t>
            </w:r>
          </w:p>
        </w:tc>
      </w:tr>
      <w:tr w14:paraId="419F550F">
        <w:trPr>
          <w:jc w:val="center"/>
        </w:trPr>
        <w:tc>
          <w:tcPr>
            <w:tcW w:w="27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91BB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SQLAlchemy</w:t>
            </w:r>
          </w:p>
        </w:tc>
        <w:tc>
          <w:tcPr>
            <w:tcW w:w="385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4A9ED4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Работа с данными</w:t>
            </w:r>
          </w:p>
        </w:tc>
        <w:tc>
          <w:tcPr>
            <w:tcW w:w="32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3873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Разделяет бизнес логику и конкретную СУБД</w:t>
            </w:r>
          </w:p>
        </w:tc>
      </w:tr>
      <w:tr w14:paraId="2357D47E">
        <w:trPr>
          <w:jc w:val="center"/>
        </w:trPr>
        <w:tc>
          <w:tcPr>
            <w:tcW w:w="271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A3650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PostgreSQL</w:t>
            </w:r>
          </w:p>
        </w:tc>
        <w:tc>
          <w:tcPr>
            <w:tcW w:w="385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E3CD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Основная база данных</w:t>
            </w:r>
          </w:p>
        </w:tc>
        <w:tc>
          <w:tcPr>
            <w:tcW w:w="328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AE81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Предпочтительнее SQLite для рабочей многопользовательской системы</w:t>
            </w:r>
          </w:p>
        </w:tc>
      </w:tr>
      <w:tr w14:paraId="7A7C31FB">
        <w:trPr>
          <w:jc w:val="center"/>
        </w:trPr>
        <w:tc>
          <w:tcPr>
            <w:tcW w:w="27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DFAA5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Jinja2</w:t>
            </w:r>
          </w:p>
        </w:tc>
        <w:tc>
          <w:tcPr>
            <w:tcW w:w="385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95FA3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Серверные веб страницы</w:t>
            </w:r>
          </w:p>
        </w:tc>
        <w:tc>
          <w:tcPr>
            <w:tcW w:w="32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303E1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Ускоряет создание первой версии</w:t>
            </w:r>
          </w:p>
        </w:tc>
      </w:tr>
      <w:tr w14:paraId="2DF58AD4">
        <w:trPr>
          <w:jc w:val="center"/>
        </w:trPr>
        <w:tc>
          <w:tcPr>
            <w:tcW w:w="271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299DA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HTML CSS JavaScript</w:t>
            </w:r>
          </w:p>
        </w:tc>
        <w:tc>
          <w:tcPr>
            <w:tcW w:w="385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24FE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Пользовательский интерфейс</w:t>
            </w:r>
          </w:p>
        </w:tc>
        <w:tc>
          <w:tcPr>
            <w:tcW w:w="328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A9F5C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Достаточно для основного кабинета и каталогов</w:t>
            </w:r>
          </w:p>
        </w:tc>
      </w:tr>
      <w:tr w14:paraId="349A5C57">
        <w:trPr>
          <w:jc w:val="center"/>
        </w:trPr>
        <w:tc>
          <w:tcPr>
            <w:tcW w:w="27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0DEF1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Redis</w:t>
            </w:r>
          </w:p>
        </w:tc>
        <w:tc>
          <w:tcPr>
            <w:tcW w:w="385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DC03B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Кэш и очередь</w:t>
            </w:r>
          </w:p>
        </w:tc>
        <w:tc>
          <w:tcPr>
            <w:tcW w:w="32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7E470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Подключается по мере появления фоновых задач</w:t>
            </w:r>
          </w:p>
        </w:tc>
      </w:tr>
      <w:tr w14:paraId="5F8889AC">
        <w:trPr>
          <w:jc w:val="center"/>
        </w:trPr>
        <w:tc>
          <w:tcPr>
            <w:tcW w:w="271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98D38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S3 хранилище</w:t>
            </w:r>
          </w:p>
        </w:tc>
        <w:tc>
          <w:tcPr>
            <w:tcW w:w="385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53CA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Файлы и медиаматериалы</w:t>
            </w:r>
          </w:p>
        </w:tc>
        <w:tc>
          <w:tcPr>
            <w:tcW w:w="328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3AD0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Снижает нагрузку на диск приложения</w:t>
            </w:r>
          </w:p>
        </w:tc>
      </w:tr>
      <w:tr w14:paraId="1789602C">
        <w:trPr>
          <w:jc w:val="center"/>
        </w:trPr>
        <w:tc>
          <w:tcPr>
            <w:tcW w:w="27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6C1DF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Docker</w:t>
            </w:r>
          </w:p>
        </w:tc>
        <w:tc>
          <w:tcPr>
            <w:tcW w:w="385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751BC8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Развёртывание</w:t>
            </w:r>
          </w:p>
        </w:tc>
        <w:tc>
          <w:tcPr>
            <w:tcW w:w="328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777A2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Обеспечивает одинаковое окружение</w:t>
            </w:r>
          </w:p>
        </w:tc>
      </w:tr>
      <w:tr w14:paraId="301D6782">
        <w:trPr>
          <w:jc w:val="center"/>
        </w:trPr>
        <w:tc>
          <w:tcPr>
            <w:tcW w:w="271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21B9A9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Nginx или балансировщик</w:t>
            </w:r>
          </w:p>
        </w:tc>
        <w:tc>
          <w:tcPr>
            <w:tcW w:w="385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D9E244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HTTPS и проксирование</w:t>
            </w:r>
          </w:p>
        </w:tc>
        <w:tc>
          <w:tcPr>
            <w:tcW w:w="3283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9AC53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Отдаёт статические файлы и ограничивает запросы</w:t>
            </w:r>
          </w:p>
        </w:tc>
      </w:tr>
    </w:tbl>
    <w:p w14:paraId="2D13B3D7">
      <w:pPr>
        <w:spacing w:after="0"/>
        <w:rPr>
          <w:rFonts w:hint="default" w:ascii="Times New Roman Regular" w:hAnsi="Times New Roman Regular" w:cs="Times New Roman Regular"/>
        </w:rPr>
      </w:pPr>
    </w:p>
    <w:p w14:paraId="5BDAEC3B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SQLite можно использовать в демонстрационном прототипе. Для пилотной эксплуатации с одновременной работой педагогов, методистов и администраторов рекомендуется PostgreSQL. Видео не следует передавать через основной сервер приложения: лучше использовать объектное хранилище с CDN или внешнюю видеоплатформу.</w:t>
      </w:r>
      <w:bookmarkStart w:id="0" w:name="_GoBack"/>
      <w:bookmarkEnd w:id="0"/>
    </w:p>
    <w:p w14:paraId="57750610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7 Нагрузка и серверные мощности</w:t>
      </w:r>
    </w:p>
    <w:p w14:paraId="0F06A86A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Расчётный профиль</w:t>
      </w:r>
    </w:p>
    <w:p w14:paraId="2D2D8AD8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около 600 зарегистрированных пользователей;</w:t>
      </w:r>
    </w:p>
    <w:p w14:paraId="67F7379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30–80 одновременно активных пользователей в обычный период;</w:t>
      </w:r>
    </w:p>
    <w:p w14:paraId="2BF9479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до 100–150 одновременных пользователей при открытии регистрации или массовой рассылке;</w:t>
      </w:r>
    </w:p>
    <w:p w14:paraId="6914CD5F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основная нагрузка связана с чтением каталогов, карточек и календаря;</w:t>
      </w:r>
    </w:p>
    <w:p w14:paraId="54AB274F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объём хранилища определяется прежде всего презентациями и видеозаписями.</w:t>
      </w:r>
    </w:p>
    <w:p w14:paraId="0A331F0F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Показатели одновременной активности являются проектной оценкой, а не результатом нагрузочного теста. Перед публичным запуском их следует проверить на сценариях массового входа, просмотра каталога, регистрации на событие и загрузки файлов.</w:t>
      </w:r>
    </w:p>
    <w:p w14:paraId="081D04FD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Рекомендуемые конфигурации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3"/>
        <w:gridCol w:w="3283"/>
      </w:tblGrid>
      <w:tr w14:paraId="1974A0BC">
        <w:trPr>
          <w:tblHeader/>
          <w:jc w:val="center"/>
        </w:trPr>
        <w:tc>
          <w:tcPr>
            <w:tcW w:w="2952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DD78D4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Параметр</w:t>
            </w:r>
          </w:p>
        </w:tc>
        <w:tc>
          <w:tcPr>
            <w:tcW w:w="2880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BED20B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Пилот</w:t>
            </w:r>
          </w:p>
        </w:tc>
        <w:tc>
          <w:tcPr>
            <w:tcW w:w="3744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DE5E8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Рабочая система</w:t>
            </w:r>
          </w:p>
        </w:tc>
      </w:tr>
      <w:tr w14:paraId="401AAD27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53C49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Аудитория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562A4E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100–200</w:t>
            </w:r>
          </w:p>
        </w:tc>
        <w:tc>
          <w:tcPr>
            <w:tcW w:w="37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09750D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Около 600</w:t>
            </w:r>
          </w:p>
        </w:tc>
      </w:tr>
      <w:tr w14:paraId="64562682">
        <w:trPr>
          <w:jc w:val="center"/>
        </w:trPr>
        <w:tc>
          <w:tcPr>
            <w:tcW w:w="295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0AB9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Процессор</w:t>
            </w:r>
          </w:p>
        </w:tc>
        <w:tc>
          <w:tcPr>
            <w:tcW w:w="288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A77361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2 vCPU</w:t>
            </w:r>
          </w:p>
        </w:tc>
        <w:tc>
          <w:tcPr>
            <w:tcW w:w="374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505E43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4 vCPU</w:t>
            </w:r>
          </w:p>
        </w:tc>
      </w:tr>
      <w:tr w14:paraId="37B566BC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AF1EE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Оперативная память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76FFAA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4 ГБ</w:t>
            </w:r>
          </w:p>
        </w:tc>
        <w:tc>
          <w:tcPr>
            <w:tcW w:w="37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8FFD00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8 ГБ</w:t>
            </w:r>
          </w:p>
        </w:tc>
      </w:tr>
      <w:tr w14:paraId="534BA443">
        <w:trPr>
          <w:jc w:val="center"/>
        </w:trPr>
        <w:tc>
          <w:tcPr>
            <w:tcW w:w="295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55EF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SSD приложения и базы</w:t>
            </w:r>
          </w:p>
        </w:tc>
        <w:tc>
          <w:tcPr>
            <w:tcW w:w="288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2D3D00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20–40 ГБ</w:t>
            </w:r>
          </w:p>
        </w:tc>
        <w:tc>
          <w:tcPr>
            <w:tcW w:w="374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72E5A6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60–100 ГБ</w:t>
            </w:r>
          </w:p>
        </w:tc>
      </w:tr>
      <w:tr w14:paraId="0B55E761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1A0F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Файловое хранилище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42AE4B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Внешнее</w:t>
            </w:r>
          </w:p>
        </w:tc>
        <w:tc>
          <w:tcPr>
            <w:tcW w:w="37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36E5D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S3 от 100 ГБ</w:t>
            </w:r>
          </w:p>
        </w:tc>
      </w:tr>
      <w:tr w14:paraId="227C6881">
        <w:trPr>
          <w:jc w:val="center"/>
        </w:trPr>
        <w:tc>
          <w:tcPr>
            <w:tcW w:w="295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0DD93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База данных</w:t>
            </w:r>
          </w:p>
        </w:tc>
        <w:tc>
          <w:tcPr>
            <w:tcW w:w="288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41702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PostgreSQL</w:t>
            </w:r>
          </w:p>
        </w:tc>
        <w:tc>
          <w:tcPr>
            <w:tcW w:w="374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2433DC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PostgreSQL с резервным копированием</w:t>
            </w:r>
          </w:p>
        </w:tc>
      </w:tr>
      <w:tr w14:paraId="15A8D459">
        <w:trPr>
          <w:jc w:val="center"/>
        </w:trPr>
        <w:tc>
          <w:tcPr>
            <w:tcW w:w="29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DBDB6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Резервные копии</w:t>
            </w:r>
          </w:p>
        </w:tc>
        <w:tc>
          <w:tcPr>
            <w:tcW w:w="28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3D3BE4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Ежедневно</w:t>
            </w:r>
          </w:p>
        </w:tc>
        <w:tc>
          <w:tcPr>
            <w:tcW w:w="37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D55B7B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Ежедневно и вне основного сервера</w:t>
            </w:r>
          </w:p>
        </w:tc>
      </w:tr>
      <w:tr w14:paraId="7E3C06C1">
        <w:trPr>
          <w:jc w:val="center"/>
        </w:trPr>
        <w:tc>
          <w:tcPr>
            <w:tcW w:w="295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51065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Мониторинг</w:t>
            </w:r>
          </w:p>
        </w:tc>
        <w:tc>
          <w:tcPr>
            <w:tcW w:w="288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05ABEA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Доступность и ошибки</w:t>
            </w:r>
          </w:p>
        </w:tc>
        <w:tc>
          <w:tcPr>
            <w:tcW w:w="3744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9A5DBE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Доступность, ошибки, ресурсы и диски</w:t>
            </w:r>
          </w:p>
        </w:tc>
      </w:tr>
    </w:tbl>
    <w:p w14:paraId="78C92260">
      <w:pPr>
        <w:spacing w:after="0"/>
        <w:rPr>
          <w:rFonts w:hint="default" w:ascii="Times New Roman Regular" w:hAnsi="Times New Roman Regular" w:cs="Times New Roman Regular"/>
        </w:rPr>
      </w:pPr>
    </w:p>
    <w:p w14:paraId="7210C9C0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Рекомендуемая конфигурация покрывает каталог материалов, личные кабинеты, календарь, регистрацию на события и просмотр встроенных записей. Она не включает собственную видеотрансляцию. Для одновременного вещания сотням участников необходим внешний видеосервис или отдельная потоковая инфраструктура с CDN.</w:t>
      </w:r>
    </w:p>
    <w:p w14:paraId="55AF92FF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Масштабирование</w:t>
      </w:r>
    </w:p>
    <w:p w14:paraId="2AF1271D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При росте аудитории приложение можно запустить в нескольких экземплярах за балансировщиком. База данных, фоновые обработчики, Redis и объектное хранилище разворачиваются отдельно. Такая схема позволит перейти к нескольким тысячам пользователей без полной переработки системы.</w:t>
      </w:r>
    </w:p>
    <w:p w14:paraId="17B18D40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8 Информационная безопасность</w:t>
      </w:r>
    </w:p>
    <w:p w14:paraId="70239C65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Точная модель защиты определяется после утверждения состава персональных данных и ролей. Уже в первой версии необходимо заложить следующие меры:</w:t>
      </w:r>
    </w:p>
    <w:p w14:paraId="7575EE8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хранение паролей только в виде криптографических хешей;</w:t>
      </w:r>
    </w:p>
    <w:p w14:paraId="5765D45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подтверждение электронной почты и одноразовые ссылки восстановления доступа;</w:t>
      </w:r>
    </w:p>
    <w:p w14:paraId="70DDB08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разграничение прав по ролям и проверка полномочий на сервере;</w:t>
      </w:r>
    </w:p>
    <w:p w14:paraId="203AF296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обязательный HTTPS и безопасные настройки пользовательских сессий;</w:t>
      </w:r>
    </w:p>
    <w:p w14:paraId="5EB99BA3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проверка типа и размера загружаемых файлов;</w:t>
      </w:r>
    </w:p>
    <w:p w14:paraId="1CA66340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журналирование действий администраторов и модераторов;</w:t>
      </w:r>
    </w:p>
    <w:p w14:paraId="3EFDCB47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регулярные резервные копии и проверка восстановления;</w:t>
      </w:r>
    </w:p>
    <w:p w14:paraId="0582CDA1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политика конфиденциальности, согласия и регламент хранения данных;</w:t>
      </w:r>
    </w:p>
    <w:p w14:paraId="688DF1CA">
      <w:pPr>
        <w:pStyle w:val="2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удаление или обезличивание данных по утверждённой процедуре.</w:t>
      </w:r>
    </w:p>
    <w:p w14:paraId="59073E19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Если прямыми пользователями станут несовершеннолетние, модель доступа, согласий и обработки данных потребуется спроектировать отдельно с участием ответственных подразделений. Для первого этапа наиболее простой вариант — предоставить доступ педагогам, методистам, экспертам и представителям организаций.</w:t>
      </w:r>
    </w:p>
    <w:p w14:paraId="081143E7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9 Состав первой версии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3"/>
        <w:gridCol w:w="3283"/>
      </w:tblGrid>
      <w:tr w14:paraId="0A54AA3F">
        <w:trPr>
          <w:tblHeader/>
          <w:jc w:val="center"/>
        </w:trPr>
        <w:tc>
          <w:tcPr>
            <w:tcW w:w="1008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E6989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Приоритет</w:t>
            </w:r>
          </w:p>
        </w:tc>
        <w:tc>
          <w:tcPr>
            <w:tcW w:w="3672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6A5F0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Функция</w:t>
            </w:r>
          </w:p>
        </w:tc>
        <w:tc>
          <w:tcPr>
            <w:tcW w:w="4896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F4DBA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Результат</w:t>
            </w:r>
          </w:p>
        </w:tc>
      </w:tr>
      <w:tr w14:paraId="2FFB6D17">
        <w:trPr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A7988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1</w:t>
            </w:r>
          </w:p>
        </w:tc>
        <w:tc>
          <w:tcPr>
            <w:tcW w:w="36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2E860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Регистрация, профиль и роли</w:t>
            </w:r>
          </w:p>
        </w:tc>
        <w:tc>
          <w:tcPr>
            <w:tcW w:w="4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BADF7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Управляемый доступ пользователей</w:t>
            </w:r>
          </w:p>
        </w:tc>
      </w:tr>
      <w:tr w14:paraId="31FD037F">
        <w:trPr>
          <w:jc w:val="center"/>
        </w:trPr>
        <w:tc>
          <w:tcPr>
            <w:tcW w:w="100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845A1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2</w:t>
            </w:r>
          </w:p>
        </w:tc>
        <w:tc>
          <w:tcPr>
            <w:tcW w:w="367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9A2DC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Карточки методических материалов</w:t>
            </w:r>
          </w:p>
        </w:tc>
        <w:tc>
          <w:tcPr>
            <w:tcW w:w="4896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DC19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Создание, редактура и публикация</w:t>
            </w:r>
          </w:p>
        </w:tc>
      </w:tr>
      <w:tr w14:paraId="1606CFB9">
        <w:trPr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C8F01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3</w:t>
            </w:r>
          </w:p>
        </w:tc>
        <w:tc>
          <w:tcPr>
            <w:tcW w:w="36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3A7812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Каталог и поиск</w:t>
            </w:r>
          </w:p>
        </w:tc>
        <w:tc>
          <w:tcPr>
            <w:tcW w:w="4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5C944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Фильтры, избранное и личная библиотека</w:t>
            </w:r>
          </w:p>
        </w:tc>
      </w:tr>
      <w:tr w14:paraId="547C23A1">
        <w:trPr>
          <w:jc w:val="center"/>
        </w:trPr>
        <w:tc>
          <w:tcPr>
            <w:tcW w:w="100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92EDA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4</w:t>
            </w:r>
          </w:p>
        </w:tc>
        <w:tc>
          <w:tcPr>
            <w:tcW w:w="367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44DE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Каталог специалистов</w:t>
            </w:r>
          </w:p>
        </w:tc>
        <w:tc>
          <w:tcPr>
            <w:tcW w:w="4896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D85AB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Поиск спикера и отправка приглашения</w:t>
            </w:r>
          </w:p>
        </w:tc>
      </w:tr>
      <w:tr w14:paraId="3845B02D">
        <w:trPr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336B8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5</w:t>
            </w:r>
          </w:p>
        </w:tc>
        <w:tc>
          <w:tcPr>
            <w:tcW w:w="36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590490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Встречи и события</w:t>
            </w:r>
          </w:p>
        </w:tc>
        <w:tc>
          <w:tcPr>
            <w:tcW w:w="4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916074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Регистрация, статусы и архив материалов</w:t>
            </w:r>
          </w:p>
        </w:tc>
      </w:tr>
      <w:tr w14:paraId="1B8D4B4A">
        <w:trPr>
          <w:jc w:val="center"/>
        </w:trPr>
        <w:tc>
          <w:tcPr>
            <w:tcW w:w="100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8F8C3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6</w:t>
            </w:r>
          </w:p>
        </w:tc>
        <w:tc>
          <w:tcPr>
            <w:tcW w:w="367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4840C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Личный календарь</w:t>
            </w:r>
          </w:p>
        </w:tc>
        <w:tc>
          <w:tcPr>
            <w:tcW w:w="4896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31D768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Единое расписание и экспорт ICS</w:t>
            </w:r>
          </w:p>
        </w:tc>
      </w:tr>
      <w:tr w14:paraId="1AEEF145">
        <w:trPr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1A59DF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7</w:t>
            </w:r>
          </w:p>
        </w:tc>
        <w:tc>
          <w:tcPr>
            <w:tcW w:w="36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8AC01D">
            <w:pPr>
              <w:keepNext/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Уведомления</w:t>
            </w:r>
          </w:p>
        </w:tc>
        <w:tc>
          <w:tcPr>
            <w:tcW w:w="4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0A2557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Сообщения внутри портала и по почте</w:t>
            </w:r>
          </w:p>
        </w:tc>
      </w:tr>
      <w:tr w14:paraId="519F4072">
        <w:trPr>
          <w:jc w:val="center"/>
        </w:trPr>
        <w:tc>
          <w:tcPr>
            <w:tcW w:w="100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768E50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8</w:t>
            </w:r>
          </w:p>
        </w:tc>
        <w:tc>
          <w:tcPr>
            <w:tcW w:w="3672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68E9B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Административная панель</w:t>
            </w:r>
          </w:p>
        </w:tc>
        <w:tc>
          <w:tcPr>
            <w:tcW w:w="4896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16A27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Модерация, справочники и выгрузки</w:t>
            </w:r>
          </w:p>
        </w:tc>
      </w:tr>
      <w:tr w14:paraId="76CD630F">
        <w:trPr>
          <w:jc w:val="center"/>
        </w:trPr>
        <w:tc>
          <w:tcPr>
            <w:tcW w:w="100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693792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9</w:t>
            </w:r>
          </w:p>
        </w:tc>
        <w:tc>
          <w:tcPr>
            <w:tcW w:w="36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969748">
            <w:pPr>
              <w:keepLines/>
              <w:spacing w:after="0" w:line="259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Базовая статистика</w:t>
            </w:r>
          </w:p>
        </w:tc>
        <w:tc>
          <w:tcPr>
            <w:tcW w:w="4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DAAEB0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Активность, материалы и участие в событиях</w:t>
            </w:r>
          </w:p>
        </w:tc>
      </w:tr>
    </w:tbl>
    <w:p w14:paraId="7C6CA871">
      <w:pPr>
        <w:spacing w:after="0"/>
        <w:rPr>
          <w:rFonts w:hint="default" w:ascii="Times New Roman Regular" w:hAnsi="Times New Roman Regular" w:cs="Times New Roman Regular"/>
        </w:rPr>
      </w:pPr>
    </w:p>
    <w:p w14:paraId="2882F641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Мини-курсы с тестированием, сертификаты, интеграции с внешними календарями, рекомендательные механизмы и мобильное приложение целесообразно включить во второй этап. Такой порядок позволяет раньше проверить основную ценность портала: востребованность материалов, специалистов и календаря событий.</w:t>
      </w:r>
    </w:p>
    <w:p w14:paraId="4CD23288">
      <w:pPr>
        <w:pStyle w:val="2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10 Этапы реализации и результат</w:t>
      </w:r>
    </w:p>
    <w:tbl>
      <w:tblPr>
        <w:tblStyle w:val="1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3"/>
        <w:gridCol w:w="3283"/>
        <w:gridCol w:w="3283"/>
      </w:tblGrid>
      <w:tr w14:paraId="086F19B2">
        <w:trPr>
          <w:tblHeader/>
          <w:jc w:val="center"/>
        </w:trPr>
        <w:tc>
          <w:tcPr>
            <w:tcW w:w="1728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9D850C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Этап</w:t>
            </w:r>
          </w:p>
        </w:tc>
        <w:tc>
          <w:tcPr>
            <w:tcW w:w="4320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8E37A8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w="3528" w:type="dxa"/>
            <w:shd w:val="clear" w:color="auto" w:fill="2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5AEB2A">
            <w:pPr>
              <w:keepNext/>
              <w:keepLines/>
              <w:spacing w:after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color w:val="FFFFFF"/>
                <w:sz w:val="19"/>
              </w:rPr>
              <w:t>Результат</w:t>
            </w:r>
          </w:p>
        </w:tc>
      </w:tr>
      <w:tr w14:paraId="29266355">
        <w:trPr>
          <w:jc w:val="center"/>
        </w:trPr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15090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1 Проектирование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6B1AA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Роли, сценарии, карточки, публикация и модерация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80136D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Согласованные требования и прототип структуры</w:t>
            </w:r>
          </w:p>
        </w:tc>
      </w:tr>
      <w:tr w14:paraId="57AA1682">
        <w:trPr>
          <w:jc w:val="center"/>
        </w:trPr>
        <w:tc>
          <w:tcPr>
            <w:tcW w:w="172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9D1A05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2 Интерактивный прототип</w:t>
            </w:r>
          </w:p>
        </w:tc>
        <w:tc>
          <w:tcPr>
            <w:tcW w:w="432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8B9C62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Основные экраны и проверка сценариев</w:t>
            </w:r>
          </w:p>
        </w:tc>
        <w:tc>
          <w:tcPr>
            <w:tcW w:w="352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13C70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Обратная связь небольшой группы педагогов</w:t>
            </w:r>
          </w:p>
        </w:tc>
      </w:tr>
      <w:tr w14:paraId="0B9B6B29">
        <w:trPr>
          <w:jc w:val="center"/>
        </w:trPr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D9E7F1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3 Минимальная версия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B09C5B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Материалы, специалисты, события, календарь и администрирование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A37EE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Система для закрытого пилота</w:t>
            </w:r>
          </w:p>
        </w:tc>
      </w:tr>
      <w:tr w14:paraId="6191D933">
        <w:trPr>
          <w:jc w:val="center"/>
        </w:trPr>
        <w:tc>
          <w:tcPr>
            <w:tcW w:w="172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D5F356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4 Пилот</w:t>
            </w:r>
          </w:p>
        </w:tc>
        <w:tc>
          <w:tcPr>
            <w:tcW w:w="4320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DA997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Подключение школ, обучение и сбор замечаний</w:t>
            </w:r>
          </w:p>
        </w:tc>
        <w:tc>
          <w:tcPr>
            <w:tcW w:w="3528" w:type="dxa"/>
            <w:shd w:val="clear" w:color="auto" w:fill="F6F8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2D23D9">
            <w:pPr>
              <w:keepNext/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Подтверждённые сценарии и перечень доработок</w:t>
            </w:r>
          </w:p>
        </w:tc>
      </w:tr>
      <w:tr w14:paraId="20A2CED0">
        <w:trPr>
          <w:jc w:val="center"/>
        </w:trPr>
        <w:tc>
          <w:tcPr>
            <w:tcW w:w="17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A3DF56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5 Развитие</w:t>
            </w:r>
          </w:p>
        </w:tc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43354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Курсы, сертификаты, интеграции и расширенная аналитика</w:t>
            </w:r>
          </w:p>
        </w:tc>
        <w:tc>
          <w:tcPr>
            <w:tcW w:w="35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B6287">
            <w:pPr>
              <w:keepLines/>
              <w:spacing w:after="0" w:line="259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8"/>
              </w:rPr>
              <w:t>Масштабирование портала</w:t>
            </w:r>
          </w:p>
        </w:tc>
      </w:tr>
    </w:tbl>
    <w:p w14:paraId="5F727D27">
      <w:pPr>
        <w:spacing w:after="0"/>
        <w:rPr>
          <w:rFonts w:hint="default" w:ascii="Times New Roman Regular" w:hAnsi="Times New Roman Regular" w:cs="Times New Roman Regular"/>
        </w:rPr>
      </w:pPr>
    </w:p>
    <w:p w14:paraId="2A8A43E5">
      <w:pPr>
        <w:pStyle w:val="3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Ожидаемый результат</w:t>
      </w:r>
    </w:p>
    <w:p w14:paraId="64950CCC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Портал создаст рабочую среду научно-методического сообщества. Педагоги смогут находить и совместно готовить материалы, приглашать специалистов, планировать встречи и отслеживать профессиональные события. Научно-методический совет получит инструменты координации, распространения разработок и анализа активности психолого-педагогических классов.</w:t>
      </w:r>
    </w:p>
    <w:p w14:paraId="00B43581">
      <w:pPr>
        <w:pStyle w:val="13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Предлагаемый технический подход соответствует масштабу первой аудитории и не требует преждевременного усложнения инфраструктуры. Он сохраняет возможность дальнейшего роста, подключения мобильных клиентов и выделения отдельных сервисов по мере появления подтверждённой нагрузки.</w:t>
      </w:r>
    </w:p>
    <w:sectPr>
      <w:headerReference r:id="rId5" w:type="default"/>
      <w:footerReference r:id="rId6" w:type="default"/>
      <w:pgSz w:w="12240" w:h="15840"/>
      <w:pgMar w:top="1123" w:right="1123" w:bottom="1037" w:left="12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C2038">
    <w:pPr>
      <w:pStyle w:val="18"/>
      <w:jc w:val="center"/>
    </w:pPr>
    <w:r>
      <w:rPr>
        <w:color w:val="68737D"/>
        <w:sz w:val="17"/>
      </w:rPr>
      <w:t xml:space="preserve">МПГУ  •  рабочий проект  •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4" w:lineRule="auto"/>
      </w:pPr>
      <w:r>
        <w:separator/>
      </w:r>
    </w:p>
  </w:footnote>
  <w:footnote w:type="continuationSeparator" w:id="1">
    <w:p>
      <w:pPr>
        <w:spacing w:before="0" w:after="0" w:line="27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5EB4C">
    <w:pPr>
      <w:pStyle w:val="16"/>
      <w:jc w:val="right"/>
    </w:pPr>
    <w:r>
      <w:rPr>
        <w:rFonts w:ascii="Aptos" w:hAnsi="Aptos"/>
        <w:color w:val="68737D"/>
        <w:sz w:val="17"/>
      </w:rPr>
      <w:t>Концепция портала</w:t>
    </w:r>
    <w:r>
      <w:rPr>
        <w:rFonts w:hint="default"/>
        <w:color w:val="68737D"/>
        <w:sz w:val="17"/>
        <w:lang w:val="en-US"/>
      </w:rPr>
      <w:t xml:space="preserve"> для поддержки </w:t>
    </w:r>
    <w:r>
      <w:rPr>
        <w:rFonts w:ascii="Aptos" w:hAnsi="Aptos"/>
        <w:color w:val="68737D"/>
        <w:sz w:val="17"/>
      </w:rPr>
      <w:t>психолого</w:t>
    </w:r>
    <w:r>
      <w:rPr>
        <w:rFonts w:hint="default"/>
        <w:color w:val="68737D"/>
        <w:sz w:val="17"/>
        <w:lang w:val="en-US"/>
      </w:rPr>
      <w:t>-</w:t>
    </w:r>
    <w:r>
      <w:rPr>
        <w:rFonts w:ascii="Aptos" w:hAnsi="Aptos"/>
        <w:color w:val="68737D"/>
        <w:sz w:val="17"/>
      </w:rPr>
      <w:t>педагогических классов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BB7A1D"/>
    <w:rsid w:val="76BF4557"/>
    <w:rsid w:val="7F999139"/>
    <w:rsid w:val="7FBCCC94"/>
    <w:rsid w:val="FF7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74" w:lineRule="auto"/>
    </w:pPr>
    <w:rPr>
      <w:rFonts w:ascii="Aptos" w:hAnsi="Aptos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00" w:line="269" w:lineRule="auto"/>
    </w:pPr>
    <w:rPr>
      <w:rFonts w:ascii="Aptos" w:hAnsi="Aptos"/>
      <w:color w:val="000000"/>
      <w:sz w:val="22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100" w:line="269" w:lineRule="auto"/>
      <w:contextualSpacing/>
    </w:pPr>
    <w:rPr>
      <w:rFonts w:ascii="Aptos" w:hAnsi="Aptos"/>
      <w:color w:val="000000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100" w:line="269" w:lineRule="auto"/>
      <w:contextualSpacing/>
    </w:pPr>
    <w:rPr>
      <w:rFonts w:ascii="Aptos" w:hAnsi="Aptos"/>
      <w:color w:val="000000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Рабочий проект для научно методического совета МПГУ</dc:creator>
  <dc:description>generated by python-docx</dc:description>
  <cp:keywords>МПГУ, психолого-педагогические классы, методический портал</cp:keywords>
  <cp:lastModifiedBy>An_Genzel</cp:lastModifiedBy>
  <dcterms:modified xsi:type="dcterms:W3CDTF">2026-09-17T21:51:23Z</dcterms:modified>
  <dc:subject>Концептуальный бриф</dc:subject>
  <dc:title>Цифровой портал психолого педагогических классов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6B3E11FA093AF9502C35AC6A46C226EE_42</vt:lpwstr>
  </property>
</Properties>
</file>