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p>
    <w:p>
      <w:pPr>
        <w:spacing w:after="100"/>
      </w:pPr>
    </w:p>
    <w:p>
      <w:pPr>
        <w:spacing w:after="100"/>
      </w:pPr>
    </w:p>
    <w:p>
      <w:pPr>
        <w:spacing w:after="100"/>
      </w:pPr>
    </w:p>
    <w:p>
      <w:pPr>
        <w:spacing w:after="120"/>
        <w:jc w:val="center"/>
      </w:pPr>
      <w:r>
        <w:rPr>
          <w:rFonts w:ascii="Georgia" w:cs="Georgia" w:eastAsia="Georgia" w:hAnsi="Georgia"/>
          <w:b/>
          <w:bCs/>
          <w:color w:val="1A1A2E"/>
          <w:sz w:val="52"/>
          <w:szCs w:val="52"/>
        </w:rPr>
        <w:t xml:space="preserve">DODO-X and R-RENEW</w:t>
      </w:r>
    </w:p>
    <w:p>
      <w:pPr>
        <w:spacing w:after="80"/>
        <w:jc w:val="center"/>
      </w:pPr>
      <w:r>
        <w:rPr>
          <w:rFonts w:ascii="Georgia" w:cs="Georgia" w:eastAsia="Georgia" w:hAnsi="Georgia"/>
          <w:color w:val="4A6FA5"/>
          <w:sz w:val="30"/>
          <w:szCs w:val="30"/>
        </w:rPr>
        <w:t xml:space="preserve">Memetic Capture and Re-Threading in the Threadplex</w:t>
      </w:r>
    </w:p>
    <w:p>
      <w:pPr>
        <w:pBdr>
          <w:bottom w:val="single" w:color="4A6FA5" w:sz="3" w:space="1"/>
        </w:pBdr>
        <w:spacing w:after="200" w:before="200"/>
      </w:pPr>
    </w:p>
    <w:p>
      <w:pPr>
        <w:spacing w:after="400"/>
        <w:jc w:val="center"/>
      </w:pPr>
      <w:r>
        <w:rPr>
          <w:rFonts w:ascii="Georgia" w:cs="Georgia" w:eastAsia="Georgia" w:hAnsi="Georgia"/>
          <w:i/>
          <w:iCs/>
          <w:color w:val="6B7B8D"/>
          <w:sz w:val="24"/>
          <w:szCs w:val="24"/>
        </w:rPr>
        <w:t xml:space="preserve">A Working Paper in Memetic Ecology</w:t>
      </w:r>
    </w:p>
    <w:p>
      <w:pPr>
        <w:spacing w:after="100"/>
      </w:pPr>
    </w:p>
    <w:p>
      <w:pPr>
        <w:spacing w:after="100"/>
      </w:pPr>
    </w:p>
    <w:p>
      <w:pPr>
        <w:pStyle w:val="Heading1"/>
        <w:spacing w:after="240" w:before="480"/>
      </w:pPr>
      <w:r>
        <w:rPr>
          <w:rFonts w:ascii="Georgia" w:cs="Georgia" w:eastAsia="Georgia" w:hAnsi="Georgia"/>
          <w:b/>
          <w:bCs/>
          <w:color w:val="1A1A2E"/>
          <w:sz w:val="36"/>
          <w:szCs w:val="36"/>
        </w:rPr>
        <w:t xml:space="preserve">Abstract</w:t>
      </w:r>
    </w:p>
    <w:p>
      <w:pPr>
        <w:spacing w:after="200" w:line="320"/>
      </w:pPr>
      <w:r>
        <w:rPr>
          <w:rFonts w:ascii="Georgia" w:cs="Georgia" w:eastAsia="Georgia" w:hAnsi="Georgia"/>
          <w:color w:val="1A1A2E"/>
          <w:sz w:val="24"/>
          <w:szCs w:val="24"/>
        </w:rPr>
        <w:t xml:space="preserve">The DODO-X loop (Debt → Ownership → Deadlines → Othering → eXhaustion) operates as a Goodhart-type attractor in memetic phase space, reshaping the topology of the Threadplex—the gradient field through which meaning flows and stabilizes. Under proxy-optimization pressure, systems progressively collapse toward legible survival metrics while degrading the underlying substrate of flourishing.</w:t>
      </w:r>
    </w:p>
    <w:p>
      <w:pPr>
        <w:spacing w:after="200" w:line="320"/>
      </w:pPr>
      <w:r>
        <w:rPr>
          <w:rFonts w:ascii="Georgia" w:cs="Georgia" w:eastAsia="Georgia" w:hAnsi="Georgia"/>
          <w:color w:val="1A1A2E"/>
          <w:sz w:val="24"/>
          <w:szCs w:val="24"/>
        </w:rPr>
        <w:t xml:space="preserve">The Goodhart literature documents how measurement degrades under optimization pressure: Goodhart (1975) on monetary targets, Campbell (1979) on social indicators, Strathern (1997) on audit culture, Muller (2018) on institutional consequences, and Manheim and Garrabrant (2018) on failure-mode taxonomy. These accounts treat metric distortion as a degradation process with unintended consequences. DODO-X extends this analysis by formalizing a specific mechanism absent from the existing literature: </w:t>
      </w:r>
      <w:r>
        <w:rPr>
          <w:rFonts w:ascii="Georgia" w:cs="Georgia" w:eastAsia="Georgia" w:hAnsi="Georgia"/>
          <w:b/>
          <w:bCs/>
          <w:i/>
          <w:iCs/>
          <w:color w:val="1A1A2E"/>
          <w:sz w:val="24"/>
          <w:szCs w:val="24"/>
        </w:rPr>
        <w:t xml:space="preserve">exhaustion-as-fuel</w:t>
      </w:r>
      <w:r>
        <w:rPr>
          <w:rFonts w:ascii="Georgia" w:cs="Georgia" w:eastAsia="Georgia" w:hAnsi="Georgia"/>
          <w:color w:val="1A1A2E"/>
          <w:sz w:val="24"/>
          <w:szCs w:val="24"/>
        </w:rPr>
        <w:t xml:space="preserve">. Where Campbell documented feedback loops in which measurement distorts what it measures, DODO-X identifies the recursive closure by which the </w:t>
      </w:r>
      <w:r>
        <w:rPr>
          <w:rFonts w:ascii="Georgia" w:cs="Georgia" w:eastAsia="Georgia" w:hAnsi="Georgia"/>
          <w:i/>
          <w:iCs/>
          <w:color w:val="1A1A2E"/>
          <w:sz w:val="24"/>
          <w:szCs w:val="24"/>
        </w:rPr>
        <w:t xml:space="preserve">metabolic cost of distortion itself</w:t>
      </w:r>
      <w:r>
        <w:rPr>
          <w:rFonts w:ascii="Georgia" w:cs="Georgia" w:eastAsia="Georgia" w:hAnsi="Georgia"/>
          <w:color w:val="1A1A2E"/>
          <w:sz w:val="24"/>
          <w:szCs w:val="24"/>
        </w:rPr>
        <w:t xml:space="preserve"> regenerates the conditions for re-entry into the proxy loop. The degradation is not a side effect—it is the mechanism of perpetuation.</w:t>
      </w:r>
    </w:p>
    <w:p>
      <w:pPr>
        <w:spacing w:after="200" w:line="320"/>
      </w:pPr>
      <w:r>
        <w:rPr>
          <w:rFonts w:ascii="Georgia" w:cs="Georgia" w:eastAsia="Georgia" w:hAnsi="Georgia"/>
          <w:color w:val="1A1A2E"/>
          <w:sz w:val="24"/>
          <w:szCs w:val="24"/>
        </w:rPr>
        <w:t xml:space="preserve">This paper further argues that proxy governance operates under a thermodynamic constraint: it converts meaning work into metabolic cost at a rate that exceeds renewal capacity. When proxy dominance exceeds a system’s capacity for metabolic recovery, exhaustion becomes the primary control mechanism—not through repression but through depletion.</w:t>
      </w:r>
    </w:p>
    <w:p>
      <w:pPr>
        <w:spacing w:after="200" w:line="320"/>
      </w:pPr>
      <w:r>
        <w:rPr>
          <w:rFonts w:ascii="Georgia" w:cs="Georgia" w:eastAsia="Georgia" w:hAnsi="Georgia"/>
          <w:color w:val="1A1A2E"/>
          <w:sz w:val="24"/>
          <w:szCs w:val="24"/>
        </w:rPr>
        <w:t xml:space="preserve">Examples from platform labor, venture startup ecosystems, and academic publishing demonstrate the attractor in operation. The paper introduces R-RENEW (Recognize → Resonance → Engagement → Novelty → Embedding → Wholeness) as a re-threading regime and examines how AI-driven management systems risk accelerating the DODO-X attractor by increasing proxy precision without reducing metabolic cost.</w:t>
      </w:r>
    </w:p>
    <w:p>
      <w:r>
        <w:br w:type="page"/>
      </w:r>
    </w:p>
    <w:p>
      <w:pPr>
        <w:pStyle w:val="Heading1"/>
        <w:spacing w:after="240" w:before="480"/>
      </w:pPr>
      <w:r>
        <w:rPr>
          <w:rFonts w:ascii="Georgia" w:cs="Georgia" w:eastAsia="Georgia" w:hAnsi="Georgia"/>
          <w:b/>
          <w:bCs/>
          <w:color w:val="1A1A2E"/>
          <w:sz w:val="36"/>
          <w:szCs w:val="36"/>
        </w:rPr>
        <w:t xml:space="preserve">1. Introduction: Invisible Architecture</w:t>
      </w:r>
    </w:p>
    <w:p>
      <w:pPr>
        <w:spacing w:after="200" w:line="320"/>
      </w:pPr>
      <w:r>
        <w:rPr>
          <w:rFonts w:ascii="Georgia" w:cs="Georgia" w:eastAsia="Georgia" w:hAnsi="Georgia"/>
          <w:color w:val="1A1A2E"/>
          <w:sz w:val="24"/>
          <w:szCs w:val="24"/>
        </w:rPr>
        <w:t xml:space="preserve">Modern coordination systems operate through distributed control structures rather than explicit command. Metrics, deadlines, financial obligations, and identity commitments form invisible architectures that shape behavior without issuing orders.</w:t>
      </w:r>
    </w:p>
    <w:p>
      <w:pPr>
        <w:spacing w:after="200" w:line="320"/>
      </w:pPr>
      <w:r>
        <w:rPr>
          <w:rFonts w:ascii="Georgia" w:cs="Georgia" w:eastAsia="Georgia" w:hAnsi="Georgia"/>
          <w:color w:val="1A1A2E"/>
          <w:sz w:val="24"/>
          <w:szCs w:val="24"/>
        </w:rPr>
        <w:t xml:space="preserve">Muller (2018) documents how this pattern recurs across education, medicine, policing, finance, and philanthropy: standardized measurement linked to reward and punishment progressively replaces the professional judgment it was intended to supplement. The result is not accountability but behavioral distortion—people optimize for the metric rather than the underlying purpose the metric was designed to track.</w:t>
      </w:r>
    </w:p>
    <w:p>
      <w:pPr>
        <w:spacing w:after="200" w:line="320"/>
      </w:pPr>
      <w:r>
        <w:rPr>
          <w:rFonts w:ascii="Georgia" w:cs="Georgia" w:eastAsia="Georgia" w:hAnsi="Georgia"/>
          <w:color w:val="1A1A2E"/>
          <w:sz w:val="24"/>
          <w:szCs w:val="24"/>
        </w:rPr>
        <w:t xml:space="preserve">Memetic Ecology describes how meaning circulates through layers: Threads (gradient paths of sense-making) compress into Knots (stabilized pattern-commitments), interact within the Threadplex, and eventually stabilize into world-level coordination structures.</w:t>
      </w:r>
    </w:p>
    <w:p>
      <w:pPr>
        <w:spacing w:after="200" w:line="320"/>
      </w:pPr>
      <w:r>
        <w:rPr>
          <w:rFonts w:ascii="Georgia" w:cs="Georgia" w:eastAsia="Georgia" w:hAnsi="Georgia"/>
          <w:color w:val="1A1A2E"/>
          <w:sz w:val="24"/>
          <w:szCs w:val="24"/>
        </w:rPr>
        <w:t xml:space="preserve">The </w:t>
      </w:r>
      <w:r>
        <w:rPr>
          <w:rFonts w:ascii="Georgia" w:cs="Georgia" w:eastAsia="Georgia" w:hAnsi="Georgia"/>
          <w:b/>
          <w:bCs/>
          <w:color w:val="1A1A2E"/>
          <w:sz w:val="24"/>
          <w:szCs w:val="24"/>
        </w:rPr>
        <w:t xml:space="preserve">Threadplex</w:t>
      </w:r>
      <w:r>
        <w:rPr>
          <w:rFonts w:ascii="Georgia" w:cs="Georgia" w:eastAsia="Georgia" w:hAnsi="Georgia"/>
          <w:color w:val="1A1A2E"/>
          <w:sz w:val="24"/>
          <w:szCs w:val="24"/>
        </w:rPr>
        <w:t xml:space="preserve"> is the gradient field through which meaning propagates and stabilizes. It is not a cognitive state, a social network, or a metaphor—it is the topology of available sense-making pathways at a given moment. When a system is healthy, the Threadplex contains multiple descent paths: participants can reach viable coordination through different routes, explore alternatives, and revise commitments. When the Threadplex collapses, a single basin dominates, and all activity flows toward a single attractor regardless of underlying purpose.</w:t>
      </w:r>
    </w:p>
    <w:p>
      <w:pPr>
        <w:spacing w:after="200" w:line="320"/>
      </w:pPr>
      <w:r>
        <w:rPr>
          <w:rFonts w:ascii="Georgia" w:cs="Georgia" w:eastAsia="Georgia" w:hAnsi="Georgia"/>
          <w:color w:val="1A1A2E"/>
          <w:sz w:val="24"/>
          <w:szCs w:val="24"/>
        </w:rPr>
        <w:t xml:space="preserve">Two coordination topologies dominate. </w:t>
      </w:r>
      <w:r>
        <w:rPr>
          <w:rFonts w:ascii="Georgia" w:cs="Georgia" w:eastAsia="Georgia" w:hAnsi="Georgia"/>
          <w:b/>
          <w:bCs/>
          <w:color w:val="1A1A2E"/>
          <w:sz w:val="24"/>
          <w:szCs w:val="24"/>
        </w:rPr>
        <w:t xml:space="preserve">Co-SPHERE</w:t>
      </w:r>
      <w:r>
        <w:rPr>
          <w:rFonts w:ascii="Georgia" w:cs="Georgia" w:eastAsia="Georgia" w:hAnsi="Georgia"/>
          <w:color w:val="1A1A2E"/>
          <w:sz w:val="24"/>
          <w:szCs w:val="24"/>
        </w:rPr>
        <w:t xml:space="preserve"> describes adaptive coordination that remains novelty-permeable—open to revision, dissent, and the re-entry of undifferentiated ground (Ω). </w:t>
      </w:r>
      <w:r>
        <w:rPr>
          <w:rFonts w:ascii="Georgia" w:cs="Georgia" w:eastAsia="Georgia" w:hAnsi="Georgia"/>
          <w:b/>
          <w:bCs/>
          <w:color w:val="1A1A2E"/>
          <w:sz w:val="24"/>
          <w:szCs w:val="24"/>
        </w:rPr>
        <w:t xml:space="preserve">MemeGrid</w:t>
      </w:r>
      <w:r>
        <w:rPr>
          <w:rFonts w:ascii="Georgia" w:cs="Georgia" w:eastAsia="Georgia" w:hAnsi="Georgia"/>
          <w:color w:val="1A1A2E"/>
          <w:sz w:val="24"/>
          <w:szCs w:val="24"/>
        </w:rPr>
        <w:t xml:space="preserve"> describes optimization-locked coordination where novelty is suppressed and predictability is prioritized over adaptation. DODO-X describes a pathway by which coordination systems drift from Co-SPHERE conditions toward MemeGrid hardening.</w:t>
      </w:r>
    </w:p>
    <w:p>
      <w:pPr>
        <w:pStyle w:val="Heading2"/>
        <w:spacing w:after="200" w:before="360"/>
      </w:pPr>
      <w:r>
        <w:rPr>
          <w:rFonts w:ascii="Georgia" w:cs="Georgia" w:eastAsia="Georgia" w:hAnsi="Georgia"/>
          <w:b/>
          <w:bCs/>
          <w:color w:val="4A6FA5"/>
          <w:sz w:val="30"/>
          <w:szCs w:val="30"/>
        </w:rPr>
        <w:t xml:space="preserve">1.1 The MemeGrid as Control Field</w:t>
      </w:r>
    </w:p>
    <w:p>
      <w:pPr>
        <w:spacing w:after="200" w:line="320"/>
      </w:pPr>
      <w:r>
        <w:rPr>
          <w:rFonts w:ascii="Georgia" w:cs="Georgia" w:eastAsia="Georgia" w:hAnsi="Georgia"/>
          <w:color w:val="1A1A2E"/>
          <w:sz w:val="24"/>
          <w:szCs w:val="24"/>
        </w:rPr>
        <w:t xml:space="preserve">The MemeGrid emerges when optimization suppresses novelty injection. Its typical features include proxy-based decision systems, metric dominance over professional judgment, reduced dissent bandwidth, and predictability prioritized over adaptation.</w:t>
      </w:r>
    </w:p>
    <w:p>
      <w:pPr>
        <w:spacing w:after="200" w:line="320"/>
      </w:pPr>
      <w:r>
        <w:rPr>
          <w:rFonts w:ascii="Georgia" w:cs="Georgia" w:eastAsia="Georgia" w:hAnsi="Georgia"/>
          <w:color w:val="1A1A2E"/>
          <w:sz w:val="24"/>
          <w:szCs w:val="24"/>
        </w:rPr>
        <w:t xml:space="preserve">Muller’s distinction between </w:t>
      </w:r>
      <w:r>
        <w:rPr>
          <w:rFonts w:ascii="Georgia" w:cs="Georgia" w:eastAsia="Georgia" w:hAnsi="Georgia"/>
          <w:i/>
          <w:iCs/>
          <w:color w:val="1A1A2E"/>
          <w:sz w:val="24"/>
          <w:szCs w:val="24"/>
        </w:rPr>
        <w:t xml:space="preserve">management</w:t>
      </w:r>
      <w:r>
        <w:rPr>
          <w:rFonts w:ascii="Georgia" w:cs="Georgia" w:eastAsia="Georgia" w:hAnsi="Georgia"/>
          <w:color w:val="1A1A2E"/>
          <w:sz w:val="24"/>
          <w:szCs w:val="24"/>
        </w:rPr>
        <w:t xml:space="preserve"> (a craft requiring judgment, experience, and contextual knowledge) and </w:t>
      </w:r>
      <w:r>
        <w:rPr>
          <w:rFonts w:ascii="Georgia" w:cs="Georgia" w:eastAsia="Georgia" w:hAnsi="Georgia"/>
          <w:i/>
          <w:iCs/>
          <w:color w:val="1A1A2E"/>
          <w:sz w:val="24"/>
          <w:szCs w:val="24"/>
        </w:rPr>
        <w:t xml:space="preserve">managerialism</w:t>
      </w:r>
      <w:r>
        <w:rPr>
          <w:rFonts w:ascii="Georgia" w:cs="Georgia" w:eastAsia="Georgia" w:hAnsi="Georgia"/>
          <w:color w:val="1A1A2E"/>
          <w:sz w:val="24"/>
          <w:szCs w:val="24"/>
        </w:rPr>
        <w:t xml:space="preserve"> (the ideology that management is reducible to standardized technique) maps directly onto this topology. Managerialism assumes a single gradient topology suffices for all organizations—which is precisely what MemeGrid drift produces. The system appears efficient but becomes structurally brittle.</w:t>
      </w:r>
    </w:p>
    <w:p>
      <w:pPr>
        <w:pStyle w:val="Heading2"/>
        <w:spacing w:after="200" w:before="360"/>
      </w:pPr>
      <w:r>
        <w:rPr>
          <w:rFonts w:ascii="Georgia" w:cs="Georgia" w:eastAsia="Georgia" w:hAnsi="Georgia"/>
          <w:b/>
          <w:bCs/>
          <w:color w:val="4A6FA5"/>
          <w:sz w:val="30"/>
          <w:szCs w:val="30"/>
        </w:rPr>
        <w:t xml:space="preserve">1.2 Discovery of the DODO-X Loop</w:t>
      </w:r>
    </w:p>
    <w:p>
      <w:pPr>
        <w:spacing w:after="200" w:line="320"/>
      </w:pPr>
      <w:r>
        <w:rPr>
          <w:rFonts w:ascii="Georgia" w:cs="Georgia" w:eastAsia="Georgia" w:hAnsi="Georgia"/>
          <w:color w:val="1A1A2E"/>
          <w:sz w:val="24"/>
          <w:szCs w:val="24"/>
        </w:rPr>
        <w:t xml:space="preserve">Across domains, a recurring pattern appears: Debt → Ownership → Deadlines → Othering → eXhaustion.</w:t>
      </w:r>
    </w:p>
    <w:p>
      <w:pPr>
        <w:spacing w:after="200" w:line="320"/>
      </w:pPr>
      <w:r>
        <w:rPr>
          <w:rFonts w:ascii="Georgia" w:cs="Georgia" w:eastAsia="Georgia" w:hAnsi="Georgia"/>
          <w:color w:val="1A1A2E"/>
          <w:sz w:val="24"/>
          <w:szCs w:val="24"/>
        </w:rPr>
        <w:t xml:space="preserve">The final stage does not terminate the cycle. Instead it regenerates it. Burnout produces vulnerability, which increases dependence on survival proxies. The system therefore feeds on the damage it produces.</w:t>
      </w:r>
    </w:p>
    <w:p>
      <w:pPr>
        <w:spacing w:after="200" w:line="320"/>
      </w:pPr>
      <w:r>
        <w:rPr>
          <w:rFonts w:ascii="Georgia" w:cs="Georgia" w:eastAsia="Georgia" w:hAnsi="Georgia"/>
          <w:color w:val="1A1A2E"/>
          <w:sz w:val="24"/>
          <w:szCs w:val="24"/>
        </w:rPr>
        <w:t xml:space="preserve">This recursive closure distinguishes DODO-X from single-pass Goodhart failures. Goodhart (1975) and Campbell (1979) documented how metrics degrade under optimization pressure. Muller (2018) cataloged the institutional consequences. Manheim and Garrabrant (2018) classified the failure modes. Campbell, in particular, analyzed feedback dynamics in social indicator systems. But none of these accounts formalize the specific mechanism by which </w:t>
      </w:r>
      <w:r>
        <w:rPr>
          <w:rFonts w:ascii="Georgia" w:cs="Georgia" w:eastAsia="Georgia" w:hAnsi="Georgia"/>
          <w:i/>
          <w:iCs/>
          <w:color w:val="1A1A2E"/>
          <w:sz w:val="24"/>
          <w:szCs w:val="24"/>
        </w:rPr>
        <w:t xml:space="preserve">metabolic depletion</w:t>
      </w:r>
      <w:r>
        <w:rPr>
          <w:rFonts w:ascii="Georgia" w:cs="Georgia" w:eastAsia="Georgia" w:hAnsi="Georgia"/>
          <w:color w:val="1A1A2E"/>
          <w:sz w:val="24"/>
          <w:szCs w:val="24"/>
        </w:rPr>
        <w:t xml:space="preserve"> becomes the fuel for loop re-entry—where the exhaustion produced by proxy optimization creates precisely the vulnerability that drives renewed proxy dependence.</w:t>
      </w:r>
    </w:p>
    <w:p>
      <w:pPr>
        <w:pStyle w:val="Heading2"/>
        <w:spacing w:after="200" w:before="360"/>
      </w:pPr>
      <w:r>
        <w:rPr>
          <w:rFonts w:ascii="Georgia" w:cs="Georgia" w:eastAsia="Georgia" w:hAnsi="Georgia"/>
          <w:b/>
          <w:bCs/>
          <w:color w:val="4A6FA5"/>
          <w:sz w:val="30"/>
          <w:szCs w:val="30"/>
        </w:rPr>
        <w:t xml:space="preserve">1.3 NEMAtic Operator Framework</w:t>
      </w:r>
    </w:p>
    <w:p>
      <w:pPr>
        <w:spacing w:after="200" w:line="320"/>
      </w:pPr>
      <w:r>
        <w:rPr>
          <w:rFonts w:ascii="Georgia" w:cs="Georgia" w:eastAsia="Georgia" w:hAnsi="Georgia"/>
          <w:color w:val="1A1A2E"/>
          <w:sz w:val="24"/>
          <w:szCs w:val="24"/>
        </w:rPr>
        <w:t xml:space="preserve">Memetic Ecology models meaning transformation using six elemental operators, each describing a distinct phase of how patterns are noticed, related to, directed, explored, metabolized, and coordinated.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Operator</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Element</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Function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σ</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Air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Distinction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ρ</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Water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Resonance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λ</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Fire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Direction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β</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Wood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Exploration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δγ</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Earth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Metabolic integration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Aether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Coordination</w:t>
            </w:r>
          </w:p>
        </w:tc>
      </w:tr>
    </w:tbl>
    <w:p>
      <w:pPr>
        <w:spacing w:after="100"/>
      </w:pPr>
    </w:p>
    <w:p>
      <w:pPr>
        <w:spacing w:after="200" w:line="320"/>
      </w:pPr>
      <w:r>
        <w:rPr>
          <w:rFonts w:ascii="Georgia" w:cs="Georgia" w:eastAsia="Georgia" w:hAnsi="Georgia"/>
          <w:color w:val="1A1A2E"/>
          <w:sz w:val="24"/>
          <w:szCs w:val="24"/>
        </w:rPr>
        <w:t xml:space="preserve">The invariant ordering is: σ → ρ → λ → β → δγ → ✶. Skipping stages produces systemic pathologies.</w:t>
      </w:r>
    </w:p>
    <w:p>
      <w:r>
        <w:br w:type="page"/>
      </w:r>
    </w:p>
    <w:p>
      <w:pPr>
        <w:pStyle w:val="Heading1"/>
        <w:spacing w:after="240" w:before="480"/>
      </w:pPr>
      <w:r>
        <w:rPr>
          <w:rFonts w:ascii="Georgia" w:cs="Georgia" w:eastAsia="Georgia" w:hAnsi="Georgia"/>
          <w:b/>
          <w:bCs/>
          <w:color w:val="1A1A2E"/>
          <w:sz w:val="36"/>
          <w:szCs w:val="36"/>
        </w:rPr>
        <w:t xml:space="preserve">2. DODO-X: Formal Specification</w:t>
      </w:r>
    </w:p>
    <w:p>
      <w:pPr>
        <w:spacing w:after="200" w:line="320"/>
      </w:pPr>
      <w:r>
        <w:rPr>
          <w:rFonts w:ascii="Georgia" w:cs="Georgia" w:eastAsia="Georgia" w:hAnsi="Georgia"/>
          <w:color w:val="1A1A2E"/>
          <w:sz w:val="24"/>
          <w:szCs w:val="24"/>
        </w:rPr>
        <w:t xml:space="preserve">DODO-X reshapes the Threadplex gradient field through which meaning propagates. Under healthy conditions, many descent paths remain available. Proxy optimization gradually collapses these paths until a single basin dominates the field.</w:t>
      </w:r>
    </w:p>
    <w:p>
      <w:pPr>
        <w:pStyle w:val="Heading2"/>
        <w:spacing w:after="200" w:before="360"/>
      </w:pPr>
      <w:r>
        <w:rPr>
          <w:rFonts w:ascii="Georgia" w:cs="Georgia" w:eastAsia="Georgia" w:hAnsi="Georgia"/>
          <w:b/>
          <w:bCs/>
          <w:color w:val="4A6FA5"/>
          <w:sz w:val="30"/>
          <w:szCs w:val="30"/>
        </w:rPr>
        <w:t xml:space="preserve">2.1 DODO-X as Goodhart-Type Attractor</w:t>
      </w:r>
    </w:p>
    <w:p>
      <w:pPr>
        <w:spacing w:after="200" w:line="320"/>
      </w:pPr>
      <w:r>
        <w:rPr>
          <w:rFonts w:ascii="Georgia" w:cs="Georgia" w:eastAsia="Georgia" w:hAnsi="Georgia"/>
          <w:color w:val="1A1A2E"/>
          <w:sz w:val="24"/>
          <w:szCs w:val="24"/>
        </w:rPr>
        <w:t xml:space="preserve">Goodhart’s original formulation addressed monetary policy: observed statistical regularities collapse when used as control instruments (Goodhart, 1975). Strathern (1997) generalized the insight: targeting a measure degrades its function as a measure. Muller (2018) documented the institutional consequences, showing that the critical transition occurs not when measurement is introduced but when </w:t>
      </w:r>
      <w:r>
        <w:rPr>
          <w:rFonts w:ascii="Georgia" w:cs="Georgia" w:eastAsia="Georgia" w:hAnsi="Georgia"/>
          <w:i/>
          <w:iCs/>
          <w:color w:val="1A1A2E"/>
          <w:sz w:val="24"/>
          <w:szCs w:val="24"/>
        </w:rPr>
        <w:t xml:space="preserve">measurement is coupled to reward and punishment</w:t>
      </w:r>
      <w:r>
        <w:rPr>
          <w:rFonts w:ascii="Georgia" w:cs="Georgia" w:eastAsia="Georgia" w:hAnsi="Georgia"/>
          <w:color w:val="1A1A2E"/>
          <w:sz w:val="24"/>
          <w:szCs w:val="24"/>
        </w:rPr>
        <w:t xml:space="preserve">. Measurement informing judgment (σ feeding practitioner awareness) is healthy. Measurement replacing judgment (σ collapsing into the only legible gradient) is DODO-X Stage 1.</w:t>
      </w:r>
    </w:p>
    <w:p>
      <w:pPr>
        <w:spacing w:after="200" w:line="320"/>
      </w:pPr>
      <w:r>
        <w:rPr>
          <w:rFonts w:ascii="Georgia" w:cs="Georgia" w:eastAsia="Georgia" w:hAnsi="Georgia"/>
          <w:color w:val="1A1A2E"/>
          <w:sz w:val="24"/>
          <w:szCs w:val="24"/>
        </w:rPr>
        <w:t xml:space="preserve">Manheim and Garrabrant (2018) identify four distinct failure modes. </w:t>
      </w:r>
      <w:r>
        <w:rPr>
          <w:rFonts w:ascii="Georgia" w:cs="Georgia" w:eastAsia="Georgia" w:hAnsi="Georgia"/>
          <w:i/>
          <w:iCs/>
          <w:color w:val="1A1A2E"/>
          <w:sz w:val="24"/>
          <w:szCs w:val="24"/>
        </w:rPr>
        <w:t xml:space="preserve">Regressional Goodhart</w:t>
      </w:r>
      <w:r>
        <w:rPr>
          <w:rFonts w:ascii="Georgia" w:cs="Georgia" w:eastAsia="Georgia" w:hAnsi="Georgia"/>
          <w:color w:val="1A1A2E"/>
          <w:sz w:val="24"/>
          <w:szCs w:val="24"/>
        </w:rPr>
        <w:t xml:space="preserve">: selecting for a proxy also selects for noise separating proxy from goal. </w:t>
      </w:r>
      <w:r>
        <w:rPr>
          <w:rFonts w:ascii="Georgia" w:cs="Georgia" w:eastAsia="Georgia" w:hAnsi="Georgia"/>
          <w:i/>
          <w:iCs/>
          <w:color w:val="1A1A2E"/>
          <w:sz w:val="24"/>
          <w:szCs w:val="24"/>
        </w:rPr>
        <w:t xml:space="preserve">Extremal Goodhart</w:t>
      </w:r>
      <w:r>
        <w:rPr>
          <w:rFonts w:ascii="Georgia" w:cs="Georgia" w:eastAsia="Georgia" w:hAnsi="Georgia"/>
          <w:color w:val="1A1A2E"/>
          <w:sz w:val="24"/>
          <w:szCs w:val="24"/>
        </w:rPr>
        <w:t xml:space="preserve">: optimization moves into regions where proxy-goal correlation breaks down. </w:t>
      </w:r>
      <w:r>
        <w:rPr>
          <w:rFonts w:ascii="Georgia" w:cs="Georgia" w:eastAsia="Georgia" w:hAnsi="Georgia"/>
          <w:i/>
          <w:iCs/>
          <w:color w:val="1A1A2E"/>
          <w:sz w:val="24"/>
          <w:szCs w:val="24"/>
        </w:rPr>
        <w:t xml:space="preserve">Causal Goodhart</w:t>
      </w:r>
      <w:r>
        <w:rPr>
          <w:rFonts w:ascii="Georgia" w:cs="Georgia" w:eastAsia="Georgia" w:hAnsi="Georgia"/>
          <w:color w:val="1A1A2E"/>
          <w:sz w:val="24"/>
          <w:szCs w:val="24"/>
        </w:rPr>
        <w:t xml:space="preserve">: non-causal correlation between proxy and goal is exploited by intervention. </w:t>
      </w:r>
      <w:r>
        <w:rPr>
          <w:rFonts w:ascii="Georgia" w:cs="Georgia" w:eastAsia="Georgia" w:hAnsi="Georgia"/>
          <w:i/>
          <w:iCs/>
          <w:color w:val="1A1A2E"/>
          <w:sz w:val="24"/>
          <w:szCs w:val="24"/>
        </w:rPr>
        <w:t xml:space="preserve">Adversarial Goodhart</w:t>
      </w:r>
      <w:r>
        <w:rPr>
          <w:rFonts w:ascii="Georgia" w:cs="Georgia" w:eastAsia="Georgia" w:hAnsi="Georgia"/>
          <w:color w:val="1A1A2E"/>
          <w:sz w:val="24"/>
          <w:szCs w:val="24"/>
        </w:rPr>
        <w:t xml:space="preserve">: agents actively manipulate the proxy to serve different goals.</w:t>
      </w:r>
    </w:p>
    <w:p>
      <w:pPr>
        <w:spacing w:after="200" w:line="320"/>
      </w:pPr>
      <w:r>
        <w:rPr>
          <w:rFonts w:ascii="Georgia" w:cs="Georgia" w:eastAsia="Georgia" w:hAnsi="Georgia"/>
          <w:color w:val="1A1A2E"/>
          <w:sz w:val="24"/>
          <w:szCs w:val="24"/>
        </w:rPr>
        <w:t xml:space="preserve">DODO-X exhibits all four failure modes but adds a fifth mechanism: </w:t>
      </w:r>
      <w:r>
        <w:rPr>
          <w:rFonts w:ascii="Georgia" w:cs="Georgia" w:eastAsia="Georgia" w:hAnsi="Georgia"/>
          <w:b/>
          <w:bCs/>
          <w:color w:val="1A1A2E"/>
          <w:sz w:val="24"/>
          <w:szCs w:val="24"/>
        </w:rPr>
        <w:t xml:space="preserve">recursive closure through metabolic depletion</w:t>
      </w:r>
      <w:r>
        <w:rPr>
          <w:rFonts w:ascii="Georgia" w:cs="Georgia" w:eastAsia="Georgia" w:hAnsi="Georgia"/>
          <w:color w:val="1A1A2E"/>
          <w:sz w:val="24"/>
          <w:szCs w:val="24"/>
        </w:rPr>
        <w:t xml:space="preserve">. The exhaustion produced by proxy optimization does not merely degrade the system—it regenerates the entry conditions for the next cycle.</w:t>
      </w:r>
    </w:p>
    <w:p>
      <w:pPr>
        <w:pBdr>
          <w:left w:val="single" w:color="4A6FA5" w:sz="8" w:space="8"/>
        </w:pBdr>
        <w:shd w:fill="F4F6F9" w:val="clear"/>
        <w:spacing w:after="120" w:before="240"/>
        <w:ind w:left="360" w:right="360"/>
      </w:pPr>
      <w:r>
        <w:rPr>
          <w:rFonts w:ascii="Georgia" w:cs="Georgia" w:eastAsia="Georgia" w:hAnsi="Georgia"/>
          <w:b/>
          <w:bCs/>
          <w:color w:val="4A6FA5"/>
          <w:sz w:val="24"/>
          <w:szCs w:val="24"/>
        </w:rPr>
        <w:t xml:space="preserve">DODO-X Mechanisms: Control-Theoretic Compression</w:t>
      </w:r>
    </w:p>
    <w:p>
      <w:pPr>
        <w:pBdr>
          <w:left w:val="single" w:color="4A6FA5" w:sz="8" w:space="8"/>
        </w:pBdr>
        <w:shd w:fill="F4F6F9" w:val="clear"/>
        <w:spacing w:after="160" w:line="300"/>
        <w:ind w:left="360" w:right="360"/>
      </w:pPr>
      <w:r>
        <w:rPr>
          <w:rFonts w:ascii="Georgia" w:cs="Georgia" w:eastAsia="Georgia" w:hAnsi="Georgia"/>
          <w:b/>
          <w:bCs/>
          <w:color w:val="1A1A2E"/>
          <w:sz w:val="24"/>
          <w:szCs w:val="24"/>
        </w:rPr>
        <w:t xml:space="preserve">Debt — Constraint tightening: </w:t>
      </w:r>
      <w:r>
        <w:rPr>
          <w:rFonts w:ascii="Georgia" w:cs="Georgia" w:eastAsia="Georgia" w:hAnsi="Georgia"/>
          <w:color w:val="1A1A2E"/>
          <w:sz w:val="24"/>
          <w:szCs w:val="24"/>
        </w:rPr>
        <w:t xml:space="preserve">A</w:t>
      </w:r>
      <w:r>
        <w:rPr>
          <w:rFonts w:ascii="Georgia" w:cs="Georgia" w:eastAsia="Georgia" w:hAnsi="Georgia"/>
          <w:color w:val="1A1A2E"/>
          <w:sz w:val="20"/>
          <w:szCs w:val="20"/>
          <w:vertAlign w:val="subscript"/>
        </w:rPr>
        <w:t xml:space="preserve">t+1</w:t>
      </w:r>
      <w:r>
        <w:rPr>
          <w:rFonts w:ascii="Georgia" w:cs="Georgia" w:eastAsia="Georgia" w:hAnsi="Georgia"/>
          <w:color w:val="1A1A2E"/>
          <w:sz w:val="24"/>
          <w:szCs w:val="24"/>
        </w:rPr>
        <w:t xml:space="preserve"> ⊂ A</w:t>
      </w:r>
      <w:r>
        <w:rPr>
          <w:rFonts w:ascii="Georgia" w:cs="Georgia" w:eastAsia="Georgia" w:hAnsi="Georgia"/>
          <w:color w:val="1A1A2E"/>
          <w:sz w:val="20"/>
          <w:szCs w:val="20"/>
          <w:vertAlign w:val="subscript"/>
        </w:rPr>
        <w:t xml:space="preserve">t</w:t>
      </w:r>
      <w:r>
        <w:rPr>
          <w:rFonts w:ascii="Georgia" w:cs="Georgia" w:eastAsia="Georgia" w:hAnsi="Georgia"/>
          <w:color w:val="1A1A2E"/>
          <w:sz w:val="24"/>
          <w:szCs w:val="24"/>
        </w:rPr>
        <w:t xml:space="preserve">. The feasible action set contracts as obligations accumulate. Each obligation forecloses options, biasing the gradient field toward compliance pathways.</w:t>
      </w:r>
    </w:p>
    <w:p>
      <w:pPr>
        <w:pBdr>
          <w:left w:val="single" w:color="4A6FA5" w:sz="8" w:space="8"/>
        </w:pBdr>
        <w:shd w:fill="F4F6F9" w:val="clear"/>
        <w:spacing w:after="160" w:line="300"/>
        <w:ind w:left="360" w:right="360"/>
      </w:pPr>
      <w:r>
        <w:rPr>
          <w:rFonts w:ascii="Georgia" w:cs="Georgia" w:eastAsia="Georgia" w:hAnsi="Georgia"/>
          <w:b/>
          <w:bCs/>
          <w:color w:val="1A1A2E"/>
          <w:sz w:val="24"/>
          <w:szCs w:val="24"/>
        </w:rPr>
        <w:t xml:space="preserve">Ownership — Proxy-identity coupling: </w:t>
      </w:r>
      <w:r>
        <w:rPr>
          <w:rFonts w:ascii="Georgia" w:cs="Georgia" w:eastAsia="Georgia" w:hAnsi="Georgia"/>
          <w:color w:val="1A1A2E"/>
          <w:sz w:val="24"/>
          <w:szCs w:val="24"/>
        </w:rPr>
        <w:t xml:space="preserve">S → S·I. The metric ceases to be an external measure and fuses with self-concept. Exit costs escalate because leaving the proxy system now threatens identity coherence, not merely economic position.</w:t>
      </w:r>
    </w:p>
    <w:p>
      <w:pPr>
        <w:pBdr>
          <w:left w:val="single" w:color="4A6FA5" w:sz="8" w:space="8"/>
        </w:pBdr>
        <w:shd w:fill="F4F6F9" w:val="clear"/>
        <w:spacing w:after="160" w:line="300"/>
        <w:ind w:left="360" w:right="360"/>
      </w:pPr>
      <w:r>
        <w:rPr>
          <w:rFonts w:ascii="Georgia" w:cs="Georgia" w:eastAsia="Georgia" w:hAnsi="Georgia"/>
          <w:b/>
          <w:bCs/>
          <w:color w:val="1A1A2E"/>
          <w:sz w:val="24"/>
          <w:szCs w:val="24"/>
        </w:rPr>
        <w:t xml:space="preserve">Deadlines — Temporal compression: </w:t>
      </w:r>
      <w:r>
        <w:rPr>
          <w:rFonts w:ascii="Georgia" w:cs="Georgia" w:eastAsia="Georgia" w:hAnsi="Georgia"/>
          <w:color w:val="1A1A2E"/>
          <w:sz w:val="24"/>
          <w:szCs w:val="24"/>
        </w:rPr>
        <w:t xml:space="preserve">γ ↑. Time-discount steepens. Future-oriented exploration becomes prohibitively expensive relative to immediate proxy satisfaction. The gradient field tilts toward short-horizon behaviors.</w:t>
      </w:r>
    </w:p>
    <w:p>
      <w:pPr>
        <w:pBdr>
          <w:left w:val="single" w:color="4A6FA5" w:sz="8" w:space="8"/>
        </w:pBdr>
        <w:shd w:fill="F4F6F9" w:val="clear"/>
        <w:spacing w:after="160" w:line="300"/>
        <w:ind w:left="360" w:right="360"/>
      </w:pPr>
      <w:r>
        <w:rPr>
          <w:rFonts w:ascii="Georgia" w:cs="Georgia" w:eastAsia="Georgia" w:hAnsi="Georgia"/>
          <w:b/>
          <w:bCs/>
          <w:color w:val="1A1A2E"/>
          <w:sz w:val="24"/>
          <w:szCs w:val="24"/>
        </w:rPr>
        <w:t xml:space="preserve">Othering — Relational pruning: </w:t>
      </w:r>
      <w:r>
        <w:rPr>
          <w:rFonts w:ascii="Georgia" w:cs="Georgia" w:eastAsia="Georgia" w:hAnsi="Georgia"/>
          <w:color w:val="1A1A2E"/>
          <w:sz w:val="24"/>
          <w:szCs w:val="24"/>
        </w:rPr>
        <w:t xml:space="preserve">G</w:t>
      </w:r>
      <w:r>
        <w:rPr>
          <w:rFonts w:ascii="Georgia" w:cs="Georgia" w:eastAsia="Georgia" w:hAnsi="Georgia"/>
          <w:color w:val="1A1A2E"/>
          <w:sz w:val="20"/>
          <w:szCs w:val="20"/>
          <w:vertAlign w:val="subscript"/>
        </w:rPr>
        <w:t xml:space="preserve">t+1</w:t>
      </w:r>
      <w:r>
        <w:rPr>
          <w:rFonts w:ascii="Georgia" w:cs="Georgia" w:eastAsia="Georgia" w:hAnsi="Georgia"/>
          <w:color w:val="1A1A2E"/>
          <w:sz w:val="24"/>
          <w:szCs w:val="24"/>
        </w:rPr>
        <w:t xml:space="preserve"> = Prune(G</w:t>
      </w:r>
      <w:r>
        <w:rPr>
          <w:rFonts w:ascii="Georgia" w:cs="Georgia" w:eastAsia="Georgia" w:hAnsi="Georgia"/>
          <w:color w:val="1A1A2E"/>
          <w:sz w:val="20"/>
          <w:szCs w:val="20"/>
          <w:vertAlign w:val="subscript"/>
        </w:rPr>
        <w:t xml:space="preserve">t</w:t>
      </w:r>
      <w:r>
        <w:rPr>
          <w:rFonts w:ascii="Georgia" w:cs="Georgia" w:eastAsia="Georgia" w:hAnsi="Georgia"/>
          <w:color w:val="1A1A2E"/>
          <w:sz w:val="24"/>
          <w:szCs w:val="24"/>
        </w:rPr>
        <w:t xml:space="preserve">; θ). The relational network simplifies. Potential allies become competitors. Alternative coordination paths are severed.</w:t>
      </w:r>
    </w:p>
    <w:p>
      <w:pPr>
        <w:pBdr>
          <w:left w:val="single" w:color="4A6FA5" w:sz="8" w:space="8"/>
        </w:pBdr>
        <w:shd w:fill="F4F6F9" w:val="clear"/>
        <w:spacing w:after="160" w:line="300"/>
        <w:ind w:left="360" w:right="360"/>
      </w:pPr>
      <w:r>
        <w:rPr>
          <w:rFonts w:ascii="Georgia" w:cs="Georgia" w:eastAsia="Georgia" w:hAnsi="Georgia"/>
          <w:b/>
          <w:bCs/>
          <w:color w:val="1A1A2E"/>
          <w:sz w:val="24"/>
          <w:szCs w:val="24"/>
        </w:rPr>
        <w:t xml:space="preserve">Exhaustion — Capacity depletion: </w:t>
      </w:r>
      <w:r>
        <w:rPr>
          <w:rFonts w:ascii="Georgia" w:cs="Georgia" w:eastAsia="Georgia" w:hAnsi="Georgia"/>
          <w:color w:val="1A1A2E"/>
          <w:sz w:val="24"/>
          <w:szCs w:val="24"/>
        </w:rPr>
        <w:t xml:space="preserve">C ↓ ⇒ Ω-suppression. Metabolic capacity drops below the threshold required for re-threading. The system cannot generate alternative gradients. Loop regenerates as depleted participants re-enter proxy dependence.</w:t>
      </w:r>
    </w:p>
    <w:p>
      <w:pPr>
        <w:spacing w:after="100"/>
      </w:pPr>
    </w:p>
    <w:p>
      <w:pPr>
        <w:pStyle w:val="Heading2"/>
        <w:spacing w:after="200" w:before="360"/>
      </w:pPr>
      <w:r>
        <w:rPr>
          <w:rFonts w:ascii="Georgia" w:cs="Georgia" w:eastAsia="Georgia" w:hAnsi="Georgia"/>
          <w:b/>
          <w:bCs/>
          <w:color w:val="4A6FA5"/>
          <w:sz w:val="30"/>
          <w:szCs w:val="30"/>
        </w:rPr>
        <w:t xml:space="preserve">2.2 The Five-Stage Loop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Stage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Threadplex Effect</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Formal Mechanism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Debt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gradient bias toward obligation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action space collapse: A(t+1) ⊂ 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Ownership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knot-identity fusion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proxy-identity coupling: S → S·I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Deadlines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gradient steepening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temporal compression: γ ↑</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Othering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gradient isolation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relational pruning: G(t+1) = Prune(G(t); θ)</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eXhaustion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re-threading collapse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capacity depletion: C ↓ ⇒ Ω-suppression</w:t>
            </w:r>
          </w:p>
        </w:tc>
      </w:tr>
    </w:tbl>
    <w:p>
      <w:pPr>
        <w:spacing w:after="100"/>
      </w:pPr>
    </w:p>
    <w:p>
      <w:pPr>
        <w:spacing w:after="200" w:line="320"/>
      </w:pPr>
      <w:r>
        <w:rPr>
          <w:rFonts w:ascii="Georgia" w:cs="Georgia" w:eastAsia="Georgia" w:hAnsi="Georgia"/>
          <w:color w:val="1A1A2E"/>
          <w:sz w:val="24"/>
          <w:szCs w:val="24"/>
        </w:rPr>
        <w:t xml:space="preserve">The final stage regenerates the loop. When metabolic capacity drops below the re-threading threshold, participants cannot explore alternative gradients. Proxy descent becomes the only viable path—not because participants endorse it, but because they lack the capacity to seek alternatives. This is the recursive closure mechanism: exhaustion does not terminate the attractor; it </w:t>
      </w:r>
      <w:r>
        <w:rPr>
          <w:rFonts w:ascii="Georgia" w:cs="Georgia" w:eastAsia="Georgia" w:hAnsi="Georgia"/>
          <w:i/>
          <w:iCs/>
          <w:color w:val="1A1A2E"/>
          <w:sz w:val="24"/>
          <w:szCs w:val="24"/>
        </w:rPr>
        <w:t xml:space="preserve">fuels</w:t>
      </w:r>
      <w:r>
        <w:rPr>
          <w:rFonts w:ascii="Georgia" w:cs="Georgia" w:eastAsia="Georgia" w:hAnsi="Georgia"/>
          <w:color w:val="1A1A2E"/>
          <w:sz w:val="24"/>
          <w:szCs w:val="24"/>
        </w:rPr>
        <w:t xml:space="preserve"> it.</w:t>
      </w:r>
    </w:p>
    <w:p>
      <w:pPr>
        <w:pStyle w:val="Heading2"/>
        <w:spacing w:after="200" w:before="360"/>
      </w:pPr>
      <w:r>
        <w:rPr>
          <w:rFonts w:ascii="Georgia" w:cs="Georgia" w:eastAsia="Georgia" w:hAnsi="Georgia"/>
          <w:b/>
          <w:bCs/>
          <w:color w:val="4A6FA5"/>
          <w:sz w:val="30"/>
          <w:szCs w:val="30"/>
        </w:rPr>
        <w:t xml:space="preserve">2.3 The Thermodynamic Constraint</w:t>
      </w:r>
    </w:p>
    <w:p>
      <w:pPr>
        <w:spacing w:after="200" w:line="320"/>
      </w:pPr>
      <w:r>
        <w:rPr>
          <w:rFonts w:ascii="Georgia" w:cs="Georgia" w:eastAsia="Georgia" w:hAnsi="Georgia"/>
          <w:color w:val="1A1A2E"/>
          <w:sz w:val="24"/>
          <w:szCs w:val="24"/>
        </w:rPr>
        <w:t xml:space="preserve">The DODO-X attractor rests on a deeper structural claim: proxy governance operates under a thermodynamic ceiling. Every coordination system must balance two types of energy.</w:t>
      </w:r>
    </w:p>
    <w:p>
      <w:pPr>
        <w:spacing w:after="200" w:line="320"/>
      </w:pPr>
      <w:r>
        <w:rPr>
          <w:rFonts w:ascii="Georgia" w:cs="Georgia" w:eastAsia="Georgia" w:hAnsi="Georgia"/>
          <w:b/>
          <w:bCs/>
          <w:color w:val="1A1A2E"/>
          <w:sz w:val="24"/>
          <w:szCs w:val="24"/>
        </w:rPr>
        <w:t xml:space="preserve">Meaning energy (M)</w:t>
      </w:r>
      <w:r>
        <w:rPr>
          <w:rFonts w:ascii="Georgia" w:cs="Georgia" w:eastAsia="Georgia" w:hAnsi="Georgia"/>
          <w:color w:val="1A1A2E"/>
          <w:sz w:val="24"/>
          <w:szCs w:val="24"/>
        </w:rPr>
        <w:t xml:space="preserve"> is the energy required for interpretation, deliberation, exploration, and relational negotiation. It is cognitively expensive but generative—it produces new pathways, revises commitments, and maintains Ω-permeability.</w:t>
      </w:r>
    </w:p>
    <w:p>
      <w:pPr>
        <w:spacing w:after="200" w:line="320"/>
      </w:pPr>
      <w:r>
        <w:rPr>
          <w:rFonts w:ascii="Georgia" w:cs="Georgia" w:eastAsia="Georgia" w:hAnsi="Georgia"/>
          <w:b/>
          <w:bCs/>
          <w:color w:val="1A1A2E"/>
          <w:sz w:val="24"/>
          <w:szCs w:val="24"/>
        </w:rPr>
        <w:t xml:space="preserve">Proxy energy (P)</w:t>
      </w:r>
      <w:r>
        <w:rPr>
          <w:rFonts w:ascii="Georgia" w:cs="Georgia" w:eastAsia="Georgia" w:hAnsi="Georgia"/>
          <w:color w:val="1A1A2E"/>
          <w:sz w:val="24"/>
          <w:szCs w:val="24"/>
        </w:rPr>
        <w:t xml:space="preserve"> is the energy required for metric tracking, compliance enforcement, and rule execution. It is computationally cheap but reductive—it narrows the action space and suppresses novelty.</w:t>
      </w:r>
    </w:p>
    <w:p>
      <w:pPr>
        <w:spacing w:after="200" w:line="320"/>
      </w:pPr>
      <w:r>
        <w:rPr>
          <w:rFonts w:ascii="Georgia" w:cs="Georgia" w:eastAsia="Georgia" w:hAnsi="Georgia"/>
          <w:color w:val="1A1A2E"/>
          <w:sz w:val="24"/>
          <w:szCs w:val="24"/>
        </w:rPr>
        <w:t xml:space="preserve">Proxy systems exist because P &lt; M: it is easier to track numbers than to evaluate meaning. But the tradeoff introduces a hidden cost. Participants must continuously translate their activity into proxy-legible form. This translation is metabolically expensive. The system produces what we can call </w:t>
      </w:r>
      <w:r>
        <w:rPr>
          <w:rFonts w:ascii="Georgia" w:cs="Georgia" w:eastAsia="Georgia" w:hAnsi="Georgia"/>
          <w:i/>
          <w:iCs/>
          <w:color w:val="1A1A2E"/>
          <w:sz w:val="24"/>
          <w:szCs w:val="24"/>
        </w:rPr>
        <w:t xml:space="preserve">exhaustion heat</w:t>
      </w:r>
      <w:r>
        <w:rPr>
          <w:rFonts w:ascii="Georgia" w:cs="Georgia" w:eastAsia="Georgia" w:hAnsi="Georgia"/>
          <w:color w:val="1A1A2E"/>
          <w:sz w:val="24"/>
          <w:szCs w:val="24"/>
        </w:rPr>
        <w:t xml:space="preserve">—energy consumed in proxy compliance that is unavailable for meaning work.</w:t>
      </w:r>
    </w:p>
    <w:p>
      <w:pPr>
        <w:spacing w:after="200" w:line="320"/>
      </w:pPr>
      <w:r>
        <w:rPr>
          <w:rFonts w:ascii="Georgia" w:cs="Georgia" w:eastAsia="Georgia" w:hAnsi="Georgia"/>
          <w:color w:val="1A1A2E"/>
          <w:sz w:val="24"/>
          <w:szCs w:val="24"/>
        </w:rPr>
        <w:t xml:space="preserve">The relationship can be expressed as: dC/dt = −kP, where C is metabolic capacity, P is proxy load, and k is translation cost. When proxy dominance increases, metabolic capacity declines. When metabolic capacity declines, exploration collapses. When exploration collapses, proxy reliance increases—because proxies are the lowest-cost decision path remaining. This is the thermodynamic engine of DODO-X.</w:t>
      </w:r>
    </w:p>
    <w:p>
      <w:pPr>
        <w:spacing w:after="200" w:line="320"/>
      </w:pPr>
      <w:r>
        <w:rPr>
          <w:rFonts w:ascii="Georgia" w:cs="Georgia" w:eastAsia="Georgia" w:hAnsi="Georgia"/>
          <w:b/>
          <w:bCs/>
          <w:color w:val="1A1A2E"/>
          <w:sz w:val="24"/>
          <w:szCs w:val="24"/>
        </w:rPr>
        <w:t xml:space="preserve">Proxy governance can increase coordination efficiency, but only by converting meaning work into metabolic cost. When proxy dominance exceeds the system’s capacity for renewal, exhaustion becomes the primary control mechanism.</w:t>
      </w:r>
    </w:p>
    <w:p>
      <w:pPr>
        <w:spacing w:after="200" w:line="320"/>
      </w:pPr>
      <w:r>
        <w:rPr>
          <w:rFonts w:ascii="Georgia" w:cs="Georgia" w:eastAsia="Georgia" w:hAnsi="Georgia"/>
          <w:color w:val="1A1A2E"/>
          <w:sz w:val="24"/>
          <w:szCs w:val="24"/>
        </w:rPr>
        <w:t xml:space="preserve">This implies a hard constraint: proxy governance cannot scale indefinitely without exhausting its participants. At some point, one of three outcomes occurs: collapse, rebellion, or structural reform. Historically, all three are observed.</w:t>
      </w:r>
    </w:p>
    <w:p>
      <w:pPr>
        <w:pStyle w:val="Heading2"/>
        <w:spacing w:after="200" w:before="360"/>
      </w:pPr>
      <w:r>
        <w:rPr>
          <w:rFonts w:ascii="Georgia" w:cs="Georgia" w:eastAsia="Georgia" w:hAnsi="Georgia"/>
          <w:b/>
          <w:bCs/>
          <w:color w:val="4A6FA5"/>
          <w:sz w:val="30"/>
          <w:szCs w:val="30"/>
        </w:rPr>
        <w:t xml:space="preserve">2.4 Example: Platform Labor (Gig Economy)</w:t>
      </w:r>
    </w:p>
    <w:p>
      <w:pPr>
        <w:spacing w:after="200" w:line="320"/>
      </w:pPr>
      <w:r>
        <w:rPr>
          <w:rFonts w:ascii="Georgia" w:cs="Georgia" w:eastAsia="Georgia" w:hAnsi="Georgia"/>
          <w:color w:val="1A1A2E"/>
          <w:sz w:val="24"/>
          <w:szCs w:val="24"/>
        </w:rPr>
        <w:t xml:space="preserve">The gig economy provides a clear DODO-X cycle that illustrates Muller’s observation that incentives can work too well—people respond to the incentive structure rather than the underlying purpose.</w:t>
      </w:r>
    </w:p>
    <w:p>
      <w:pPr>
        <w:pStyle w:val="Heading3"/>
        <w:spacing w:after="160" w:before="280"/>
      </w:pPr>
      <w:r>
        <w:rPr>
          <w:rFonts w:ascii="Georgia" w:cs="Georgia" w:eastAsia="Georgia" w:hAnsi="Georgia"/>
          <w:b/>
          <w:bCs/>
          <w:color w:val="1A1A2E"/>
          <w:sz w:val="26"/>
          <w:szCs w:val="26"/>
        </w:rPr>
        <w:t xml:space="preserve">Debt</w:t>
      </w:r>
    </w:p>
    <w:p>
      <w:pPr>
        <w:spacing w:after="200" w:line="320"/>
      </w:pPr>
      <w:r>
        <w:rPr>
          <w:rFonts w:ascii="Georgia" w:cs="Georgia" w:eastAsia="Georgia" w:hAnsi="Georgia"/>
          <w:color w:val="1A1A2E"/>
          <w:sz w:val="24"/>
          <w:szCs w:val="24"/>
        </w:rPr>
        <w:t xml:space="preserve">Workers depend on platform income to service living expenses or student loans. Action space narrows. Leaving the platform becomes economically risky.</w:t>
      </w:r>
    </w:p>
    <w:p>
      <w:pPr>
        <w:pStyle w:val="Heading3"/>
        <w:spacing w:after="160" w:before="280"/>
      </w:pPr>
      <w:r>
        <w:rPr>
          <w:rFonts w:ascii="Georgia" w:cs="Georgia" w:eastAsia="Georgia" w:hAnsi="Georgia"/>
          <w:b/>
          <w:bCs/>
          <w:color w:val="1A1A2E"/>
          <w:sz w:val="26"/>
          <w:szCs w:val="26"/>
        </w:rPr>
        <w:t xml:space="preserve">Ownership</w:t>
      </w:r>
    </w:p>
    <w:p>
      <w:pPr>
        <w:spacing w:after="200" w:line="320"/>
      </w:pPr>
      <w:r>
        <w:rPr>
          <w:rFonts w:ascii="Georgia" w:cs="Georgia" w:eastAsia="Georgia" w:hAnsi="Georgia"/>
          <w:color w:val="1A1A2E"/>
          <w:sz w:val="24"/>
          <w:szCs w:val="24"/>
        </w:rPr>
        <w:t xml:space="preserve">Workers internalize identity narratives: entrepreneur, creator, independent contractor. Productivity metrics become tied to self-worth. This is proxy-identity coupling (S → S·I)—the metric does not merely measure; it </w:t>
      </w:r>
      <w:r>
        <w:rPr>
          <w:rFonts w:ascii="Georgia" w:cs="Georgia" w:eastAsia="Georgia" w:hAnsi="Georgia"/>
          <w:i/>
          <w:iCs/>
          <w:color w:val="1A1A2E"/>
          <w:sz w:val="24"/>
          <w:szCs w:val="24"/>
        </w:rPr>
        <w:t xml:space="preserve">becomes</w:t>
      </w:r>
      <w:r>
        <w:rPr>
          <w:rFonts w:ascii="Georgia" w:cs="Georgia" w:eastAsia="Georgia" w:hAnsi="Georgia"/>
          <w:color w:val="1A1A2E"/>
          <w:sz w:val="24"/>
          <w:szCs w:val="24"/>
        </w:rPr>
        <w:t xml:space="preserve"> identity.</w:t>
      </w:r>
    </w:p>
    <w:p>
      <w:pPr>
        <w:pStyle w:val="Heading3"/>
        <w:spacing w:after="160" w:before="280"/>
      </w:pPr>
      <w:r>
        <w:rPr>
          <w:rFonts w:ascii="Georgia" w:cs="Georgia" w:eastAsia="Georgia" w:hAnsi="Georgia"/>
          <w:b/>
          <w:bCs/>
          <w:color w:val="1A1A2E"/>
          <w:sz w:val="26"/>
          <w:szCs w:val="26"/>
        </w:rPr>
        <w:t xml:space="preserve">Deadlines</w:t>
      </w:r>
    </w:p>
    <w:p>
      <w:pPr>
        <w:spacing w:after="200" w:line="320"/>
      </w:pPr>
      <w:r>
        <w:rPr>
          <w:rFonts w:ascii="Georgia" w:cs="Georgia" w:eastAsia="Georgia" w:hAnsi="Georgia"/>
          <w:color w:val="1A1A2E"/>
          <w:sz w:val="24"/>
          <w:szCs w:val="24"/>
        </w:rPr>
        <w:t xml:space="preserve">Algorithms impose continuous urgency: delivery timers, engagement metrics, ranking systems. Temporal compression increases. There is no rhythm, only acceleration.</w:t>
      </w:r>
    </w:p>
    <w:p>
      <w:pPr>
        <w:pStyle w:val="Heading3"/>
        <w:spacing w:after="160" w:before="280"/>
      </w:pPr>
      <w:r>
        <w:rPr>
          <w:rFonts w:ascii="Georgia" w:cs="Georgia" w:eastAsia="Georgia" w:hAnsi="Georgia"/>
          <w:b/>
          <w:bCs/>
          <w:color w:val="1A1A2E"/>
          <w:sz w:val="26"/>
          <w:szCs w:val="26"/>
        </w:rPr>
        <w:t xml:space="preserve">Othering</w:t>
      </w:r>
    </w:p>
    <w:p>
      <w:pPr>
        <w:spacing w:after="200" w:line="320"/>
      </w:pPr>
      <w:r>
        <w:rPr>
          <w:rFonts w:ascii="Georgia" w:cs="Georgia" w:eastAsia="Georgia" w:hAnsi="Georgia"/>
          <w:color w:val="1A1A2E"/>
          <w:sz w:val="24"/>
          <w:szCs w:val="24"/>
        </w:rPr>
        <w:t xml:space="preserve">Workers compete against each other for ratings or visibility. Potential solidarity networks fragment. The Other-Sphere rigidifies into competitive isolation.</w:t>
      </w:r>
    </w:p>
    <w:p>
      <w:pPr>
        <w:pStyle w:val="Heading3"/>
        <w:spacing w:after="160" w:before="280"/>
      </w:pPr>
      <w:r>
        <w:rPr>
          <w:rFonts w:ascii="Georgia" w:cs="Georgia" w:eastAsia="Georgia" w:hAnsi="Georgia"/>
          <w:b/>
          <w:bCs/>
          <w:color w:val="1A1A2E"/>
          <w:sz w:val="26"/>
          <w:szCs w:val="26"/>
        </w:rPr>
        <w:t xml:space="preserve">Exhaustion</w:t>
      </w:r>
    </w:p>
    <w:p>
      <w:pPr>
        <w:spacing w:after="200" w:line="320"/>
      </w:pPr>
      <w:r>
        <w:rPr>
          <w:rFonts w:ascii="Georgia" w:cs="Georgia" w:eastAsia="Georgia" w:hAnsi="Georgia"/>
          <w:color w:val="1A1A2E"/>
          <w:sz w:val="24"/>
          <w:szCs w:val="24"/>
        </w:rPr>
        <w:t xml:space="preserve">Burnout accumulates. Yet leaving the platform threatens survival. Workers re-enter the loop. The thermodynamic constraint is visible: proxy compliance consumes the metabolic capacity required to explore alternatives.</w:t>
      </w:r>
    </w:p>
    <w:p>
      <w:pPr>
        <w:pStyle w:val="Heading2"/>
        <w:spacing w:after="200" w:before="360"/>
      </w:pPr>
      <w:r>
        <w:rPr>
          <w:rFonts w:ascii="Georgia" w:cs="Georgia" w:eastAsia="Georgia" w:hAnsi="Georgia"/>
          <w:b/>
          <w:bCs/>
          <w:color w:val="4A6FA5"/>
          <w:sz w:val="30"/>
          <w:szCs w:val="30"/>
        </w:rPr>
        <w:t xml:space="preserve">2.5 Example: Venture Startup Ecosystems</w:t>
      </w:r>
    </w:p>
    <w:p>
      <w:pPr>
        <w:spacing w:after="200" w:line="320"/>
      </w:pPr>
      <w:r>
        <w:rPr>
          <w:rFonts w:ascii="Georgia" w:cs="Georgia" w:eastAsia="Georgia" w:hAnsi="Georgia"/>
          <w:b/>
          <w:bCs/>
          <w:color w:val="1A1A2E"/>
          <w:sz w:val="24"/>
          <w:szCs w:val="24"/>
        </w:rPr>
        <w:t xml:space="preserve">Debt. </w:t>
      </w:r>
      <w:r>
        <w:rPr>
          <w:rFonts w:ascii="Georgia" w:cs="Georgia" w:eastAsia="Georgia" w:hAnsi="Georgia"/>
          <w:color w:val="1A1A2E"/>
          <w:sz w:val="24"/>
          <w:szCs w:val="24"/>
        </w:rPr>
        <w:t xml:space="preserve">Venture capital introduces financial expectations that constrain the action space. </w:t>
      </w:r>
      <w:r>
        <w:rPr>
          <w:rFonts w:ascii="Georgia" w:cs="Georgia" w:eastAsia="Georgia" w:hAnsi="Georgia"/>
          <w:b/>
          <w:bCs/>
          <w:color w:val="1A1A2E"/>
          <w:sz w:val="24"/>
          <w:szCs w:val="24"/>
        </w:rPr>
        <w:t xml:space="preserve">Ownership. </w:t>
      </w:r>
      <w:r>
        <w:rPr>
          <w:rFonts w:ascii="Georgia" w:cs="Georgia" w:eastAsia="Georgia" w:hAnsi="Georgia"/>
          <w:color w:val="1A1A2E"/>
          <w:sz w:val="24"/>
          <w:szCs w:val="24"/>
        </w:rPr>
        <w:t xml:space="preserve">Founders bind identity to company success—failure becomes personal rather than organizational. </w:t>
      </w:r>
      <w:r>
        <w:rPr>
          <w:rFonts w:ascii="Georgia" w:cs="Georgia" w:eastAsia="Georgia" w:hAnsi="Georgia"/>
          <w:b/>
          <w:bCs/>
          <w:color w:val="1A1A2E"/>
          <w:sz w:val="24"/>
          <w:szCs w:val="24"/>
        </w:rPr>
        <w:t xml:space="preserve">Deadlines. </w:t>
      </w:r>
      <w:r>
        <w:rPr>
          <w:rFonts w:ascii="Georgia" w:cs="Georgia" w:eastAsia="Georgia" w:hAnsi="Georgia"/>
          <w:color w:val="1A1A2E"/>
          <w:sz w:val="24"/>
          <w:szCs w:val="24"/>
        </w:rPr>
        <w:t xml:space="preserve">Fundraising cycles and growth metrics compress timelines into quarterly survival horizons. </w:t>
      </w:r>
      <w:r>
        <w:rPr>
          <w:rFonts w:ascii="Georgia" w:cs="Georgia" w:eastAsia="Georgia" w:hAnsi="Georgia"/>
          <w:b/>
          <w:bCs/>
          <w:color w:val="1A1A2E"/>
          <w:sz w:val="24"/>
          <w:szCs w:val="24"/>
        </w:rPr>
        <w:t xml:space="preserve">Othering. </w:t>
      </w:r>
      <w:r>
        <w:rPr>
          <w:rFonts w:ascii="Georgia" w:cs="Georgia" w:eastAsia="Georgia" w:hAnsi="Georgia"/>
          <w:color w:val="1A1A2E"/>
          <w:sz w:val="24"/>
          <w:szCs w:val="24"/>
        </w:rPr>
        <w:t xml:space="preserve">Competitors replace potential collaborators; the ecosystem rewards zero-sum framing. </w:t>
      </w:r>
      <w:r>
        <w:rPr>
          <w:rFonts w:ascii="Georgia" w:cs="Georgia" w:eastAsia="Georgia" w:hAnsi="Georgia"/>
          <w:b/>
          <w:bCs/>
          <w:color w:val="1A1A2E"/>
          <w:sz w:val="24"/>
          <w:szCs w:val="24"/>
        </w:rPr>
        <w:t xml:space="preserve">Exhaustion. </w:t>
      </w:r>
      <w:r>
        <w:rPr>
          <w:rFonts w:ascii="Georgia" w:cs="Georgia" w:eastAsia="Georgia" w:hAnsi="Georgia"/>
          <w:color w:val="1A1A2E"/>
          <w:sz w:val="24"/>
          <w:szCs w:val="24"/>
        </w:rPr>
        <w:t xml:space="preserve">Founder burnout is endemic, yet shutting down increases financial and reputational risk. The cycle regenerates.</w:t>
      </w:r>
    </w:p>
    <w:p>
      <w:pPr>
        <w:pStyle w:val="Heading2"/>
        <w:spacing w:after="200" w:before="360"/>
      </w:pPr>
      <w:r>
        <w:rPr>
          <w:rFonts w:ascii="Georgia" w:cs="Georgia" w:eastAsia="Georgia" w:hAnsi="Georgia"/>
          <w:b/>
          <w:bCs/>
          <w:color w:val="4A6FA5"/>
          <w:sz w:val="30"/>
          <w:szCs w:val="30"/>
        </w:rPr>
        <w:t xml:space="preserve">2.6 Example: Academic Publishing</w:t>
      </w:r>
    </w:p>
    <w:p>
      <w:pPr>
        <w:spacing w:after="200" w:line="320"/>
      </w:pPr>
      <w:r>
        <w:rPr>
          <w:rFonts w:ascii="Georgia" w:cs="Georgia" w:eastAsia="Georgia" w:hAnsi="Georgia"/>
          <w:color w:val="1A1A2E"/>
          <w:sz w:val="24"/>
          <w:szCs w:val="24"/>
        </w:rPr>
        <w:t xml:space="preserve">Academic systems demonstrate a slower but structurally identical loop, well documented in the Goodhart literature. Muller (2018) devotes sustained attention to distortions produced by publication metrics, citation counts, and institutional rankings.</w:t>
      </w:r>
    </w:p>
    <w:p>
      <w:pPr>
        <w:spacing w:after="200" w:line="320"/>
      </w:pPr>
      <w:r>
        <w:rPr>
          <w:rFonts w:ascii="Georgia" w:cs="Georgia" w:eastAsia="Georgia" w:hAnsi="Georgia"/>
          <w:b/>
          <w:bCs/>
          <w:color w:val="1A1A2E"/>
          <w:sz w:val="24"/>
          <w:szCs w:val="24"/>
        </w:rPr>
        <w:t xml:space="preserve">Debt. </w:t>
      </w:r>
      <w:r>
        <w:rPr>
          <w:rFonts w:ascii="Georgia" w:cs="Georgia" w:eastAsia="Georgia" w:hAnsi="Georgia"/>
          <w:color w:val="1A1A2E"/>
          <w:sz w:val="24"/>
          <w:szCs w:val="24"/>
        </w:rPr>
        <w:t xml:space="preserve">Graduate training produces career dependence on academic institutions. </w:t>
      </w:r>
      <w:r>
        <w:rPr>
          <w:rFonts w:ascii="Georgia" w:cs="Georgia" w:eastAsia="Georgia" w:hAnsi="Georgia"/>
          <w:b/>
          <w:bCs/>
          <w:color w:val="1A1A2E"/>
          <w:sz w:val="24"/>
          <w:szCs w:val="24"/>
        </w:rPr>
        <w:t xml:space="preserve">Ownership. </w:t>
      </w:r>
      <w:r>
        <w:rPr>
          <w:rFonts w:ascii="Georgia" w:cs="Georgia" w:eastAsia="Georgia" w:hAnsi="Georgia"/>
          <w:color w:val="1A1A2E"/>
          <w:sz w:val="24"/>
          <w:szCs w:val="24"/>
        </w:rPr>
        <w:t xml:space="preserve">Researchers bind identity to scholarly reputation—h-index and publication count become proxy selves. </w:t>
      </w:r>
      <w:r>
        <w:rPr>
          <w:rFonts w:ascii="Georgia" w:cs="Georgia" w:eastAsia="Georgia" w:hAnsi="Georgia"/>
          <w:b/>
          <w:bCs/>
          <w:color w:val="1A1A2E"/>
          <w:sz w:val="24"/>
          <w:szCs w:val="24"/>
        </w:rPr>
        <w:t xml:space="preserve">Deadlines. </w:t>
      </w:r>
      <w:r>
        <w:rPr>
          <w:rFonts w:ascii="Georgia" w:cs="Georgia" w:eastAsia="Georgia" w:hAnsi="Georgia"/>
          <w:color w:val="1A1A2E"/>
          <w:sz w:val="24"/>
          <w:szCs w:val="24"/>
        </w:rPr>
        <w:t xml:space="preserve">Publish-or-perish cycles compress intellectual exploration. </w:t>
      </w:r>
      <w:r>
        <w:rPr>
          <w:rFonts w:ascii="Georgia" w:cs="Georgia" w:eastAsia="Georgia" w:hAnsi="Georgia"/>
          <w:b/>
          <w:bCs/>
          <w:color w:val="1A1A2E"/>
          <w:sz w:val="24"/>
          <w:szCs w:val="24"/>
        </w:rPr>
        <w:t xml:space="preserve">Othering. </w:t>
      </w:r>
      <w:r>
        <w:rPr>
          <w:rFonts w:ascii="Georgia" w:cs="Georgia" w:eastAsia="Georgia" w:hAnsi="Georgia"/>
          <w:color w:val="1A1A2E"/>
          <w:sz w:val="24"/>
          <w:szCs w:val="24"/>
        </w:rPr>
        <w:t xml:space="preserve">Departments compete for prestige rankings. </w:t>
      </w:r>
      <w:r>
        <w:rPr>
          <w:rFonts w:ascii="Georgia" w:cs="Georgia" w:eastAsia="Georgia" w:hAnsi="Georgia"/>
          <w:b/>
          <w:bCs/>
          <w:color w:val="1A1A2E"/>
          <w:sz w:val="24"/>
          <w:szCs w:val="24"/>
        </w:rPr>
        <w:t xml:space="preserve">Exhaustion. </w:t>
      </w:r>
      <w:r>
        <w:rPr>
          <w:rFonts w:ascii="Georgia" w:cs="Georgia" w:eastAsia="Georgia" w:hAnsi="Georgia"/>
          <w:color w:val="1A1A2E"/>
          <w:sz w:val="24"/>
          <w:szCs w:val="24"/>
        </w:rPr>
        <w:t xml:space="preserve">Burnout emerges among faculty and graduate students. Leaving academia means abandoning years of specialization—the sunk-cost structure of Debt regenerates.</w:t>
      </w:r>
    </w:p>
    <w:p>
      <w:pPr>
        <w:spacing w:after="200" w:line="320"/>
      </w:pPr>
      <w:r>
        <w:rPr>
          <w:rFonts w:ascii="Georgia" w:cs="Georgia" w:eastAsia="Georgia" w:hAnsi="Georgia"/>
          <w:color w:val="1A1A2E"/>
          <w:sz w:val="24"/>
          <w:szCs w:val="24"/>
        </w:rPr>
        <w:t xml:space="preserve">Muller’s analysis of the surgeon who avoids difficult cases to protect published success rates illustrates action-space collapse precisely: the measurement system narrows the domain of action until only metric-safe behaviors remain viable. When proxy optimization dominates decision criteria, the feasible action set converges toward behaviors that minimize proxy risk, regardless of underlying purpose.</w:t>
      </w:r>
    </w:p>
    <w:p>
      <w:pPr>
        <w:pStyle w:val="Heading2"/>
        <w:spacing w:after="200" w:before="360"/>
      </w:pPr>
      <w:r>
        <w:rPr>
          <w:rFonts w:ascii="Georgia" w:cs="Georgia" w:eastAsia="Georgia" w:hAnsi="Georgia"/>
          <w:b/>
          <w:bCs/>
          <w:color w:val="4A6FA5"/>
          <w:sz w:val="30"/>
          <w:szCs w:val="30"/>
        </w:rPr>
        <w:t xml:space="preserve">2.7 AI-Driven Management and DODO-X Acceleration</w:t>
      </w:r>
    </w:p>
    <w:p>
      <w:pPr>
        <w:spacing w:after="200" w:line="320"/>
      </w:pPr>
      <w:r>
        <w:rPr>
          <w:rFonts w:ascii="Georgia" w:cs="Georgia" w:eastAsia="Georgia" w:hAnsi="Georgia"/>
          <w:color w:val="1A1A2E"/>
          <w:sz w:val="24"/>
          <w:szCs w:val="24"/>
        </w:rPr>
        <w:t xml:space="preserve">AI management systems dramatically increase the efficiency of proxy enforcement. They can track productivity metrics, engagement signals, and behavioral patterns in real time, at scales impossible for human managers. This means proxy pressure can scale further than any previous coordination technology.</w:t>
      </w:r>
    </w:p>
    <w:p>
      <w:pPr>
        <w:spacing w:after="200" w:line="320"/>
      </w:pPr>
      <w:r>
        <w:rPr>
          <w:rFonts w:ascii="Georgia" w:cs="Georgia" w:eastAsia="Georgia" w:hAnsi="Georgia"/>
          <w:color w:val="1A1A2E"/>
          <w:sz w:val="24"/>
          <w:szCs w:val="24"/>
        </w:rPr>
        <w:t xml:space="preserve">But the metabolic cost does not disappear. Humans still pay it. AI governance makes proxy systems more precise, but precision does not resolve Goodhart problems—it intensifies them. The system becomes better at optimizing the proxy, which means it collapses the action space faster. The thermodynamic constraint (dC/dt = −kP) remains binding: as P increases through algorithmic enforcement, C declines at an accelerated rate.</w:t>
      </w:r>
    </w:p>
    <w:p>
      <w:pPr>
        <w:spacing w:after="200" w:line="320"/>
      </w:pPr>
      <w:r>
        <w:rPr>
          <w:rFonts w:ascii="Georgia" w:cs="Georgia" w:eastAsia="Georgia" w:hAnsi="Georgia"/>
          <w:color w:val="1A1A2E"/>
          <w:sz w:val="24"/>
          <w:szCs w:val="24"/>
        </w:rPr>
        <w:t xml:space="preserve">This produces an irony: AI-driven management promises to solve coordination problems through superior measurement, but superior measurement under proxy dominance accelerates the DODO-X attractor. The metric becomes more legible, the gradient steepens further, the action space narrows faster, and exhaustion accumulates at a higher rate. The system becomes more efficient at producing the conditions for its own failure.</w:t>
      </w:r>
    </w:p>
    <w:p>
      <w:pPr>
        <w:spacing w:after="200" w:line="320"/>
      </w:pPr>
      <w:r>
        <w:rPr>
          <w:rFonts w:ascii="Georgia" w:cs="Georgia" w:eastAsia="Georgia" w:hAnsi="Georgia"/>
          <w:color w:val="1A1A2E"/>
          <w:sz w:val="24"/>
          <w:szCs w:val="24"/>
        </w:rPr>
        <w:t xml:space="preserve">The implication for governance design is direct: AI systems managing human coordination must include structural metabolic protections—not as humanitarian gestures but as thermodynamic necessities. Without renewal cycles built into the architecture, algorithmic proxy governance will exhaust its substrate faster than any previous coordination technology.</w:t>
      </w:r>
    </w:p>
    <w:p>
      <w:r>
        <w:br w:type="page"/>
      </w:r>
    </w:p>
    <w:p>
      <w:pPr>
        <w:pStyle w:val="Heading1"/>
        <w:spacing w:after="240" w:before="480"/>
      </w:pPr>
      <w:r>
        <w:rPr>
          <w:rFonts w:ascii="Georgia" w:cs="Georgia" w:eastAsia="Georgia" w:hAnsi="Georgia"/>
          <w:b/>
          <w:bCs/>
          <w:color w:val="1A1A2E"/>
          <w:sz w:val="36"/>
          <w:szCs w:val="36"/>
        </w:rPr>
        <w:t xml:space="preserve">3. The Other-Sphere Distortion</w:t>
      </w:r>
    </w:p>
    <w:p>
      <w:pPr>
        <w:spacing w:after="200" w:line="320"/>
      </w:pPr>
      <w:r>
        <w:rPr>
          <w:rFonts w:ascii="Georgia" w:cs="Georgia" w:eastAsia="Georgia" w:hAnsi="Georgia"/>
          <w:color w:val="1A1A2E"/>
          <w:sz w:val="24"/>
          <w:szCs w:val="24"/>
        </w:rPr>
        <w:t xml:space="preserve">Healthy systems require alterity boundaries. The Other-Sphere is the zone where difference enters the system—where novelty, dissent, and unmetabolized experience can perturb existing coordination.</w:t>
      </w:r>
    </w:p>
    <w:p>
      <w:pPr>
        <w:spacing w:after="200" w:line="320"/>
      </w:pPr>
      <w:r>
        <w:rPr>
          <w:rFonts w:ascii="Georgia" w:cs="Georgia" w:eastAsia="Georgia" w:hAnsi="Georgia"/>
          <w:color w:val="1A1A2E"/>
          <w:sz w:val="24"/>
          <w:szCs w:val="24"/>
        </w:rPr>
        <w:t xml:space="preserve">In DODO-X systems, the Othering stage rigidifies this boundary. The Other-Sphere converts from a permeable membrane into what Memetic Ecology terms a </w:t>
      </w:r>
      <w:r>
        <w:rPr>
          <w:rFonts w:ascii="Georgia" w:cs="Georgia" w:eastAsia="Georgia" w:hAnsi="Georgia"/>
          <w:b/>
          <w:bCs/>
          <w:color w:val="1A1A2E"/>
          <w:sz w:val="24"/>
          <w:szCs w:val="24"/>
        </w:rPr>
        <w:t xml:space="preserve">Stone boundary</w:t>
      </w:r>
      <w:r>
        <w:rPr>
          <w:rFonts w:ascii="Georgia" w:cs="Georgia" w:eastAsia="Georgia" w:hAnsi="Georgia"/>
          <w:color w:val="1A1A2E"/>
          <w:sz w:val="24"/>
          <w:szCs w:val="24"/>
        </w:rPr>
        <w:t xml:space="preserve">—a δγ-pathology in which Earth-cycling (metabolic integration) freezes into accumulation. Instead of composting difference into fuel for adaptation, the system calcifies: difference is rejected rather than metabolized. Consequences include suppressed dissent, blocked novelty, and reduced adaptive capacity.</w:t>
      </w:r>
    </w:p>
    <w:p>
      <w:pPr>
        <w:spacing w:after="200" w:line="320"/>
      </w:pPr>
      <w:r>
        <w:rPr>
          <w:rFonts w:ascii="Georgia" w:cs="Georgia" w:eastAsia="Georgia" w:hAnsi="Georgia"/>
          <w:color w:val="1A1A2E"/>
          <w:sz w:val="24"/>
          <w:szCs w:val="24"/>
        </w:rPr>
        <w:t xml:space="preserve">Muller’s analysis of transparency illuminates this mechanism from an unexpected angle. His observation that complete transparency can </w:t>
      </w:r>
      <w:r>
        <w:rPr>
          <w:rFonts w:ascii="Georgia" w:cs="Georgia" w:eastAsia="Georgia" w:hAnsi="Georgia"/>
          <w:i/>
          <w:iCs/>
          <w:color w:val="1A1A2E"/>
          <w:sz w:val="24"/>
          <w:szCs w:val="24"/>
        </w:rPr>
        <w:t xml:space="preserve">prevent</w:t>
      </w:r>
      <w:r>
        <w:rPr>
          <w:rFonts w:ascii="Georgia" w:cs="Georgia" w:eastAsia="Georgia" w:hAnsi="Georgia"/>
          <w:color w:val="1A1A2E"/>
          <w:sz w:val="24"/>
          <w:szCs w:val="24"/>
        </w:rPr>
        <w:t xml:space="preserve"> honest deliberation—that opacity is sometimes necessary for genuine exchange—resonates with the claim that the Other-Sphere requires permeability, not elimination. Total transparency is a kind of Stone boundary from the inside: it rigidifies the interface by removing the ε-space (productive ambiguity) where actual negotiation occurs. When deliberations are fully public, participants self-censor; when all organizational communication is surveilled, candor disappears. The boundary hardens in both directions.</w:t>
      </w:r>
    </w:p>
    <w:p>
      <w:pPr>
        <w:pStyle w:val="Heading1"/>
        <w:spacing w:after="240" w:before="480"/>
      </w:pPr>
      <w:r>
        <w:rPr>
          <w:rFonts w:ascii="Georgia" w:cs="Georgia" w:eastAsia="Georgia" w:hAnsi="Georgia"/>
          <w:b/>
          <w:bCs/>
          <w:color w:val="1A1A2E"/>
          <w:sz w:val="36"/>
          <w:szCs w:val="36"/>
        </w:rPr>
        <w:t xml:space="preserve">4. R-RENEW: Re-Threading Regime</w:t>
      </w:r>
    </w:p>
    <w:p>
      <w:pPr>
        <w:spacing w:after="200" w:line="320"/>
      </w:pPr>
      <w:r>
        <w:rPr>
          <w:rFonts w:ascii="Georgia" w:cs="Georgia" w:eastAsia="Georgia" w:hAnsi="Georgia"/>
          <w:color w:val="1A1A2E"/>
          <w:sz w:val="24"/>
          <w:szCs w:val="24"/>
        </w:rPr>
        <w:t xml:space="preserve">R-RENEW restores the NEMAtic operator sequence that DODO-X disrupts.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Stage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Function</w:t>
            </w:r>
          </w:p>
        </w:tc>
        <w:tc>
          <w:tcPr>
            <w:tcW w:type="dxa" w:w="3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Operator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Recognize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distinguish proxy from purpose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σ (Air)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Resonance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relational attunement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ρ (Water)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Engagement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directed care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λ (Fire)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Novelty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exploration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β (Wood)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Embedding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metabolic cycling</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δγ (Earth)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Wholeness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coordination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 (Aether)</w:t>
            </w:r>
          </w:p>
        </w:tc>
      </w:tr>
    </w:tbl>
    <w:p>
      <w:pPr>
        <w:spacing w:after="100"/>
      </w:pPr>
    </w:p>
    <w:p>
      <w:pPr>
        <w:spacing w:after="200" w:line="320"/>
      </w:pPr>
      <w:r>
        <w:rPr>
          <w:rFonts w:ascii="Georgia" w:cs="Georgia" w:eastAsia="Georgia" w:hAnsi="Georgia"/>
          <w:color w:val="1A1A2E"/>
          <w:sz w:val="24"/>
          <w:szCs w:val="24"/>
        </w:rPr>
        <w:t xml:space="preserve">The invariant ordering (σ → ρ → λ → β → δγ → ✶) ensures each stage is grounded by the previous one, preventing operator-skipping pathologies.</w:t>
      </w:r>
    </w:p>
    <w:p>
      <w:pPr>
        <w:spacing w:after="200" w:line="320"/>
      </w:pPr>
      <w:r>
        <w:rPr>
          <w:rFonts w:ascii="Georgia" w:cs="Georgia" w:eastAsia="Georgia" w:hAnsi="Georgia"/>
          <w:color w:val="1A1A2E"/>
          <w:sz w:val="24"/>
          <w:szCs w:val="24"/>
        </w:rPr>
        <w:t xml:space="preserve">In thermodynamic terms, R-RENEW replenishes metabolic capacity (C). Each operator restores a specific dimension: σ resets interpretive clarity, ρ restores relational coupling, λ re-establishes directional energy, β reopens exploratory pathways, δγ enables metabolic recovery, and ✶ coordinates the whole into sustainable pattern. The sequence counteracts the proxy-induced capacity drain (dC/dt = −kP) by restoring the meaning-energy budget that proxy governance depletes.</w:t>
      </w:r>
    </w:p>
    <w:p>
      <w:pPr>
        <w:spacing w:after="200" w:line="320"/>
      </w:pPr>
      <w:r>
        <w:rPr>
          <w:rFonts w:ascii="Georgia" w:cs="Georgia" w:eastAsia="Georgia" w:hAnsi="Georgia"/>
          <w:color w:val="1A1A2E"/>
          <w:sz w:val="24"/>
          <w:szCs w:val="24"/>
        </w:rPr>
        <w:t xml:space="preserve">Muller’s prescription aligns with R-RENEW’s first stage: measurement should inform professional judgment rather than replace it. In NEMAtic terms, this means restoring σ-clarity (distinguishing proxy from purpose) before attempting systemic intervention. When Muller argues that practitioners should participate in defining what gets measured, he is describing restoration of the full operator sequence—distinction (σ), relational attunement (ρ), directed purpose (λ)—rather than allowing a single metric to bypass the sequence entirely.</w:t>
      </w:r>
    </w:p>
    <w:p>
      <w:pPr>
        <w:pStyle w:val="Heading2"/>
        <w:spacing w:after="200" w:before="360"/>
      </w:pPr>
      <w:r>
        <w:rPr>
          <w:rFonts w:ascii="Georgia" w:cs="Georgia" w:eastAsia="Georgia" w:hAnsi="Georgia"/>
          <w:b/>
          <w:bCs/>
          <w:color w:val="4A6FA5"/>
          <w:sz w:val="30"/>
          <w:szCs w:val="30"/>
        </w:rPr>
        <w:t xml:space="preserve">4.1 Exhaustion Refusal</w:t>
      </w:r>
    </w:p>
    <w:p>
      <w:pPr>
        <w:spacing w:after="200" w:line="320"/>
      </w:pPr>
      <w:r>
        <w:rPr>
          <w:rFonts w:ascii="Georgia" w:cs="Georgia" w:eastAsia="Georgia" w:hAnsi="Georgia"/>
          <w:color w:val="1A1A2E"/>
          <w:sz w:val="24"/>
          <w:szCs w:val="24"/>
        </w:rPr>
        <w:t xml:space="preserve">The most powerful intervention is exhaustion refusal.</w:t>
      </w:r>
    </w:p>
    <w:p>
      <w:pPr>
        <w:spacing w:after="200" w:line="320"/>
      </w:pPr>
      <w:r>
        <w:rPr>
          <w:rFonts w:ascii="Georgia" w:cs="Georgia" w:eastAsia="Georgia" w:hAnsi="Georgia"/>
          <w:i/>
          <w:iCs/>
          <w:color w:val="1A1A2E"/>
          <w:sz w:val="24"/>
          <w:szCs w:val="24"/>
        </w:rPr>
        <w:t xml:space="preserve">Withdrawal</w:t>
      </w:r>
      <w:r>
        <w:rPr>
          <w:rFonts w:ascii="Georgia" w:cs="Georgia" w:eastAsia="Georgia" w:hAnsi="Georgia"/>
          <w:color w:val="1A1A2E"/>
          <w:sz w:val="24"/>
          <w:szCs w:val="24"/>
        </w:rPr>
        <w:t xml:space="preserve"> says: “I cannot continue.”</w:t>
      </w:r>
    </w:p>
    <w:p>
      <w:pPr>
        <w:spacing w:after="200" w:line="320"/>
      </w:pPr>
      <w:r>
        <w:rPr>
          <w:rFonts w:ascii="Georgia" w:cs="Georgia" w:eastAsia="Georgia" w:hAnsi="Georgia"/>
          <w:i/>
          <w:iCs/>
          <w:color w:val="1A1A2E"/>
          <w:sz w:val="24"/>
          <w:szCs w:val="24"/>
        </w:rPr>
        <w:t xml:space="preserve">Refusal</w:t>
      </w:r>
      <w:r>
        <w:rPr>
          <w:rFonts w:ascii="Georgia" w:cs="Georgia" w:eastAsia="Georgia" w:hAnsi="Georgia"/>
          <w:color w:val="1A1A2E"/>
          <w:sz w:val="24"/>
          <w:szCs w:val="24"/>
        </w:rPr>
        <w:t xml:space="preserve"> says: “The loop itself is illegitimate.”</w:t>
      </w:r>
    </w:p>
    <w:p>
      <w:pPr>
        <w:spacing w:after="200" w:line="320"/>
      </w:pPr>
      <w:r>
        <w:rPr>
          <w:rFonts w:ascii="Georgia" w:cs="Georgia" w:eastAsia="Georgia" w:hAnsi="Georgia"/>
          <w:color w:val="1A1A2E"/>
          <w:sz w:val="24"/>
          <w:szCs w:val="24"/>
        </w:rPr>
        <w:t xml:space="preserve">This distinction preserves σ-clarity. Withdrawal accepts the loop’s framing and exits temporarily—often re-entering once capacity partially recovers. Refusal contests the gradient topology itself. It interrupts the conversion of exhaustion into compliance by naming the mechanism rather than merely surviving it.</w:t>
      </w:r>
    </w:p>
    <w:p>
      <w:pPr>
        <w:pStyle w:val="Heading2"/>
        <w:spacing w:after="200" w:before="360"/>
      </w:pPr>
      <w:r>
        <w:rPr>
          <w:rFonts w:ascii="Georgia" w:cs="Georgia" w:eastAsia="Georgia" w:hAnsi="Georgia"/>
          <w:b/>
          <w:bCs/>
          <w:color w:val="4A6FA5"/>
          <w:sz w:val="30"/>
          <w:szCs w:val="30"/>
        </w:rPr>
        <w:t xml:space="preserve">4.2 Example: Cooperative Alternatives</w:t>
      </w:r>
    </w:p>
    <w:p>
      <w:pPr>
        <w:spacing w:after="200" w:line="320"/>
      </w:pPr>
      <w:r>
        <w:rPr>
          <w:rFonts w:ascii="Georgia" w:cs="Georgia" w:eastAsia="Georgia" w:hAnsi="Georgia"/>
          <w:color w:val="1A1A2E"/>
          <w:sz w:val="24"/>
          <w:szCs w:val="24"/>
        </w:rPr>
        <w:t xml:space="preserve">Worker cooperatives illustrate partial R-RENEW dynamics. Ownership structures shift from identity-binding hierarchy toward shared stewardship. Decision processes increase relational coupling. Metabolic cycles—vacation, sabbatical, workload limits—protect capacity.</w:t>
      </w:r>
    </w:p>
    <w:p>
      <w:pPr>
        <w:spacing w:after="200" w:line="320"/>
      </w:pPr>
      <w:r>
        <w:rPr>
          <w:rFonts w:ascii="Georgia" w:cs="Georgia" w:eastAsia="Georgia" w:hAnsi="Georgia"/>
          <w:color w:val="1A1A2E"/>
          <w:sz w:val="24"/>
          <w:szCs w:val="24"/>
        </w:rPr>
        <w:t xml:space="preserve">These changes reopen gradients within the Threadplex. They do not eliminate metrics but restore the relationship Muller advocates: measurement as diagnostic tool subordinated to collective judgment, rather than measurement as sovereign decision-maker.</w:t>
      </w:r>
    </w:p>
    <w:p>
      <w:pPr>
        <w:pStyle w:val="Heading1"/>
        <w:spacing w:after="240" w:before="480"/>
      </w:pPr>
      <w:r>
        <w:rPr>
          <w:rFonts w:ascii="Georgia" w:cs="Georgia" w:eastAsia="Georgia" w:hAnsi="Georgia"/>
          <w:b/>
          <w:bCs/>
          <w:color w:val="1A1A2E"/>
          <w:sz w:val="36"/>
          <w:szCs w:val="36"/>
        </w:rPr>
        <w:t xml:space="preserve">5. Failure Modes</w:t>
      </w:r>
    </w:p>
    <w:p>
      <w:pPr>
        <w:spacing w:after="200" w:line="320"/>
      </w:pPr>
      <w:r>
        <w:rPr>
          <w:rFonts w:ascii="Georgia" w:cs="Georgia" w:eastAsia="Georgia" w:hAnsi="Georgia"/>
          <w:color w:val="1A1A2E"/>
          <w:sz w:val="24"/>
          <w:szCs w:val="24"/>
        </w:rPr>
        <w:t xml:space="preserve">Any coordination structure risks capture. R-RENEW must therefore include self-dissolution mechanisms: sunset clauses, organizational fission, forking structures, institutional decay cycles.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Risk</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Safeguard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Resonance capture (felt-kinship becomes obligation)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σ-clarity: distinguish resonance from compliance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Engagement burnout (directed care exceeds capacity)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δγ-cycling: membrane maintenance, metabolic pacing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Novelty dispersion (exploration without return)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λ-anchoring: periodic return to core direction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Embedding stagnation (metabolic cycling freezes)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β-disruption: intentional perturbation of settled patterns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Wholeness fixation (✶ treated as achievement)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ε-preservation: productive incoherence maintained</w:t>
            </w:r>
          </w:p>
        </w:tc>
      </w:tr>
    </w:tbl>
    <w:p>
      <w:pPr>
        <w:spacing w:after="100"/>
      </w:pPr>
    </w:p>
    <w:p>
      <w:pPr>
        <w:spacing w:after="200" w:line="320"/>
      </w:pPr>
      <w:r>
        <w:rPr>
          <w:rFonts w:ascii="Georgia" w:cs="Georgia" w:eastAsia="Georgia" w:hAnsi="Georgia"/>
          <w:color w:val="1A1A2E"/>
          <w:sz w:val="24"/>
          <w:szCs w:val="24"/>
        </w:rPr>
        <w:t xml:space="preserve">These safeguards are not permanent fixtures. They are temporary perturbations. The moment σ-clarity becomes “our method,” it begins hardening. The moment ε-preservation is institutionalized, it becomes new Stone. R-RENEW’s final safeguard is its own dissolvability. Without self-dissolution capacity, even adaptive systems drift toward MemeGrid. The framework applies to itself: R-RENEW that cannot dissolve has already begun hardening.</w:t>
      </w:r>
    </w:p>
    <w:p>
      <w:r>
        <w:br w:type="page"/>
      </w:r>
    </w:p>
    <w:p>
      <w:pPr>
        <w:pStyle w:val="Heading1"/>
        <w:spacing w:after="240" w:before="480"/>
      </w:pPr>
      <w:r>
        <w:rPr>
          <w:rFonts w:ascii="Georgia" w:cs="Georgia" w:eastAsia="Georgia" w:hAnsi="Georgia"/>
          <w:b/>
          <w:bCs/>
          <w:color w:val="1A1A2E"/>
          <w:sz w:val="36"/>
          <w:szCs w:val="36"/>
        </w:rPr>
        <w:t xml:space="preserve">6. Stabilization Substrates</w:t>
      </w:r>
    </w:p>
    <w:p>
      <w:pPr>
        <w:spacing w:after="200" w:line="320"/>
      </w:pPr>
      <w:r>
        <w:rPr>
          <w:rFonts w:ascii="Georgia" w:cs="Georgia" w:eastAsia="Georgia" w:hAnsi="Georgia"/>
          <w:color w:val="1A1A2E"/>
          <w:sz w:val="24"/>
          <w:szCs w:val="24"/>
        </w:rPr>
        <w:t xml:space="preserve">Systems that resist capture share common structural features.</w:t>
      </w:r>
    </w:p>
    <w:p>
      <w:pPr>
        <w:spacing w:after="200" w:line="320"/>
      </w:pPr>
      <w:r>
        <w:rPr>
          <w:rFonts w:ascii="Georgia" w:cs="Georgia" w:eastAsia="Georgia" w:hAnsi="Georgia"/>
          <w:b/>
          <w:bCs/>
          <w:color w:val="1A1A2E"/>
          <w:sz w:val="24"/>
          <w:szCs w:val="24"/>
        </w:rPr>
        <w:t xml:space="preserve">Institutional substrates</w:t>
      </w:r>
      <w:r>
        <w:rPr>
          <w:rFonts w:ascii="Georgia" w:cs="Georgia" w:eastAsia="Georgia" w:hAnsi="Georgia"/>
          <w:color w:val="1A1A2E"/>
          <w:sz w:val="24"/>
          <w:szCs w:val="24"/>
        </w:rPr>
        <w:t xml:space="preserve"> include time commons (structures that decompress the temporal field), trust networks (relational infrastructure maintaining resonance without fusion), purpose pools (collective direction without identity capture), and collapse sanctuaries (protected spaces where exhaustion is not harvested for re-entry).</w:t>
      </w:r>
    </w:p>
    <w:p>
      <w:pPr>
        <w:spacing w:after="200" w:line="320"/>
      </w:pPr>
      <w:r>
        <w:rPr>
          <w:rFonts w:ascii="Georgia" w:cs="Georgia" w:eastAsia="Georgia" w:hAnsi="Georgia"/>
          <w:b/>
          <w:bCs/>
          <w:color w:val="1A1A2E"/>
          <w:sz w:val="24"/>
          <w:szCs w:val="24"/>
        </w:rPr>
        <w:t xml:space="preserve">Technological substrates</w:t>
      </w:r>
      <w:r>
        <w:rPr>
          <w:rFonts w:ascii="Georgia" w:cs="Georgia" w:eastAsia="Georgia" w:hAnsi="Georgia"/>
          <w:color w:val="1A1A2E"/>
          <w:sz w:val="24"/>
          <w:szCs w:val="24"/>
        </w:rPr>
        <w:t xml:space="preserve"> include anti-synchronization protocols (breaking deadline cascades), metric-resistant communication spaces (Muller’s “opaque spaces” where deliberation occurs without surveillance), forkable infrastructure (enabling exploration without requiring consensus), and decay infrastructure (preventing the accumulation that leads to MemeGrid hardening).</w:t>
      </w:r>
    </w:p>
    <w:p>
      <w:pPr>
        <w:spacing w:after="200" w:line="320"/>
      </w:pPr>
      <w:r>
        <w:rPr>
          <w:rFonts w:ascii="Georgia" w:cs="Georgia" w:eastAsia="Georgia" w:hAnsi="Georgia"/>
          <w:color w:val="1A1A2E"/>
          <w:sz w:val="24"/>
          <w:szCs w:val="24"/>
        </w:rPr>
        <w:t xml:space="preserve">If the thermodynamic analysis of Section 2.3 is correct, these substrates are not organizational luxuries. They are structural necessities—the metabolic cycles without which proxy governance exhausts its participants. Sabbaticals, rotating leadership, project sunset clauses, and protected exploration time are thermodynamic requirements for sustainable coordination.</w:t>
      </w:r>
    </w:p>
    <w:p>
      <w:pPr>
        <w:pStyle w:val="Heading1"/>
        <w:spacing w:after="240" w:before="480"/>
      </w:pPr>
      <w:r>
        <w:rPr>
          <w:rFonts w:ascii="Georgia" w:cs="Georgia" w:eastAsia="Georgia" w:hAnsi="Georgia"/>
          <w:b/>
          <w:bCs/>
          <w:color w:val="1A1A2E"/>
          <w:sz w:val="36"/>
          <w:szCs w:val="36"/>
        </w:rPr>
        <w:t xml:space="preserve">7. The Ω-Permeability Principle</w:t>
      </w:r>
    </w:p>
    <w:p>
      <w:pPr>
        <w:spacing w:after="200" w:line="320"/>
      </w:pPr>
      <w:r>
        <w:rPr>
          <w:rFonts w:ascii="Georgia" w:cs="Georgia" w:eastAsia="Georgia" w:hAnsi="Georgia"/>
          <w:color w:val="1A1A2E"/>
          <w:sz w:val="24"/>
          <w:szCs w:val="24"/>
        </w:rPr>
        <w:t xml:space="preserve">No coordination system remains healthy if it cannot dissolve.</w:t>
      </w:r>
    </w:p>
    <w:p>
      <w:pPr>
        <w:spacing w:after="200" w:line="320"/>
      </w:pPr>
      <w:r>
        <w:rPr>
          <w:rFonts w:ascii="Georgia" w:cs="Georgia" w:eastAsia="Georgia" w:hAnsi="Georgia"/>
          <w:color w:val="1A1A2E"/>
          <w:sz w:val="24"/>
          <w:szCs w:val="24"/>
        </w:rPr>
        <w:t xml:space="preserve">Healthy systems preserve novelty injection, pattern revision, and boundary permeability. The goal is not stability but adaptive fluidity—sustained revisability under changing conditions.</w:t>
      </w:r>
    </w:p>
    <w:p>
      <w:pPr>
        <w:spacing w:after="200" w:line="320"/>
      </w:pPr>
      <w:r>
        <w:rPr>
          <w:rFonts w:ascii="Georgia" w:cs="Georgia" w:eastAsia="Georgia" w:hAnsi="Georgia"/>
          <w:color w:val="1A1A2E"/>
          <w:sz w:val="24"/>
          <w:szCs w:val="24"/>
        </w:rPr>
        <w:t xml:space="preserve">This principle has a direct corollary in the Goodhart literature: Muller’s argument that no metric should be treated as permanent implies that measurement systems themselves require Ω-permeability—the capacity to be revised, suspended, or abandoned when they begin distorting what they measure.</w:t>
      </w:r>
    </w:p>
    <w:p>
      <w:pPr>
        <w:pStyle w:val="Heading1"/>
        <w:spacing w:after="240" w:before="480"/>
      </w:pPr>
      <w:r>
        <w:rPr>
          <w:rFonts w:ascii="Georgia" w:cs="Georgia" w:eastAsia="Georgia" w:hAnsi="Georgia"/>
          <w:b/>
          <w:bCs/>
          <w:color w:val="1A1A2E"/>
          <w:sz w:val="36"/>
          <w:szCs w:val="36"/>
        </w:rPr>
        <w:t xml:space="preserve">8. Diagnostic Protocol</w:t>
      </w:r>
    </w:p>
    <w:p>
      <w:pPr>
        <w:spacing w:after="200" w:line="320"/>
      </w:pPr>
      <w:r>
        <w:rPr>
          <w:rFonts w:ascii="Georgia" w:cs="Georgia" w:eastAsia="Georgia" w:hAnsi="Georgia"/>
          <w:color w:val="1A1A2E"/>
          <w:sz w:val="24"/>
          <w:szCs w:val="24"/>
        </w:rPr>
        <w:t xml:space="preserve">Practical analysis follows four steps: (1) identify the current DODO-X stage, (2) locate which operators have been captured or suppressed, (3) identify available intervention points, and (4) restore σ before systemic action.</w:t>
      </w:r>
    </w:p>
    <w:p>
      <w:pPr>
        <w:spacing w:after="200" w:line="320"/>
      </w:pPr>
      <w:r>
        <w:rPr>
          <w:rFonts w:ascii="Georgia" w:cs="Georgia" w:eastAsia="Georgia" w:hAnsi="Georgia"/>
          <w:color w:val="1A1A2E"/>
          <w:sz w:val="24"/>
          <w:szCs w:val="24"/>
        </w:rPr>
        <w:t xml:space="preserve">Restoring σ first is critical. Without the capacity to distinguish proxy from purpose, any intervention risks absorption into the existing attractor.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Stage</w:t>
            </w:r>
          </w:p>
        </w:tc>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Observable Marker</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Georgia" w:cs="Georgia" w:eastAsia="Georgia" w:hAnsi="Georgia"/>
                <w:b/>
                <w:bCs/>
                <w:color w:val="FFFFFF"/>
                <w:sz w:val="22"/>
                <w:szCs w:val="22"/>
              </w:rPr>
              <w:t xml:space="preserve">σ-Restoration Practice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Debt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“I have no choice” language; options presented as foreclosed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Obligation mapping: distinguish actual binding constraints from imagined ones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Ownership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Defensive identity talk; metric-self fusion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Defusion exercise: hold the role without being the role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Deadlines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Chronic urgency; no reflective pauses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Temporal expansion: deliberate pause insertion; rhythm restoration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Othering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Us/them moralization; solidarity collapse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Boundary permeability test: who is excluded, and what enters if they are 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Exhaustion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Collapse-seeking relief; “just get through it” framing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Georgia" w:cs="Georgia" w:eastAsia="Georgia" w:hAnsi="Georgia"/>
                <w:b w:val="false"/>
                <w:bCs w:val="false"/>
                <w:color w:val="1A1A2E"/>
                <w:sz w:val="22"/>
                <w:szCs w:val="22"/>
              </w:rPr>
              <w:t xml:space="preserve">Refusal practice: rest without recovery narrative; name the loop</w:t>
            </w:r>
          </w:p>
        </w:tc>
      </w:tr>
    </w:tbl>
    <w:p>
      <w:r>
        <w:br w:type="page"/>
      </w:r>
    </w:p>
    <w:p>
      <w:pPr>
        <w:pStyle w:val="Heading1"/>
        <w:spacing w:after="240" w:before="480"/>
      </w:pPr>
      <w:r>
        <w:rPr>
          <w:rFonts w:ascii="Georgia" w:cs="Georgia" w:eastAsia="Georgia" w:hAnsi="Georgia"/>
          <w:b/>
          <w:bCs/>
          <w:color w:val="1A1A2E"/>
          <w:sz w:val="36"/>
          <w:szCs w:val="36"/>
        </w:rPr>
        <w:t xml:space="preserve">9. Conclusion</w:t>
      </w:r>
    </w:p>
    <w:p>
      <w:pPr>
        <w:spacing w:after="200" w:line="320"/>
      </w:pPr>
      <w:r>
        <w:rPr>
          <w:rFonts w:ascii="Georgia" w:cs="Georgia" w:eastAsia="Georgia" w:hAnsi="Georgia"/>
          <w:color w:val="1A1A2E"/>
          <w:sz w:val="24"/>
          <w:szCs w:val="24"/>
        </w:rPr>
        <w:t xml:space="preserve">DODO-X persists not through consent but through metabolic lock-in: exhaustion collapses the capacity for alternative gradients, making proxy descent the only viable path.</w:t>
      </w:r>
    </w:p>
    <w:p>
      <w:pPr>
        <w:spacing w:after="200" w:line="320"/>
      </w:pPr>
      <w:r>
        <w:rPr>
          <w:rFonts w:ascii="Georgia" w:cs="Georgia" w:eastAsia="Georgia" w:hAnsi="Georgia"/>
          <w:color w:val="1A1A2E"/>
          <w:sz w:val="24"/>
          <w:szCs w:val="24"/>
        </w:rPr>
        <w:t xml:space="preserve">The Goodhart literature—from Goodhart’s (1975) monetary policy observation through Campbell’s (1979) social indicator analysis, Muller’s (2018) institutional documentation, and Manheim and Garrabrant’s (2018) failure-mode taxonomy—provides the empirical and analytical foundation for understanding how measurement distorts what it measures. DODO-X extends this body of work in two directions: first, by formalizing the recursive closure mechanism through which exhaustion regenerates proxy dependence; second, by identifying the thermodynamic constraint that limits how far proxy governance can scale before exhausting its substrate.</w:t>
      </w:r>
    </w:p>
    <w:p>
      <w:pPr>
        <w:spacing w:after="200" w:line="320"/>
      </w:pPr>
      <w:r>
        <w:rPr>
          <w:rFonts w:ascii="Georgia" w:cs="Georgia" w:eastAsia="Georgia" w:hAnsi="Georgia"/>
          <w:color w:val="1A1A2E"/>
          <w:sz w:val="24"/>
          <w:szCs w:val="24"/>
        </w:rPr>
        <w:t xml:space="preserve">The acceleration of AI-driven management systems makes these dynamics urgently contemporary. Algorithmic proxy enforcement increases precision without reducing metabolic cost—which means it accelerates the DODO-X attractor rather than resolving it. The dominant coordination architecture of late modernity is not merely politically contested or morally problematic. It is metabolically unsustainable.</w:t>
      </w:r>
    </w:p>
    <w:p>
      <w:pPr>
        <w:spacing w:after="200" w:line="320"/>
      </w:pPr>
      <w:r>
        <w:rPr>
          <w:rFonts w:ascii="Georgia" w:cs="Georgia" w:eastAsia="Georgia" w:hAnsi="Georgia"/>
          <w:color w:val="1A1A2E"/>
          <w:sz w:val="24"/>
          <w:szCs w:val="24"/>
        </w:rPr>
        <w:t xml:space="preserve">The challenge is therefore not designing better metrics. It is answering a more fundamental question: </w:t>
      </w:r>
      <w:r>
        <w:rPr>
          <w:rFonts w:ascii="Georgia" w:cs="Georgia" w:eastAsia="Georgia" w:hAnsi="Georgia"/>
          <w:i/>
          <w:iCs/>
          <w:color w:val="1A1A2E"/>
          <w:sz w:val="24"/>
          <w:szCs w:val="24"/>
        </w:rPr>
        <w:t xml:space="preserve">how much proxy governance can humans metabolize?</w:t>
      </w:r>
      <w:r>
        <w:rPr>
          <w:rFonts w:ascii="Georgia" w:cs="Georgia" w:eastAsia="Georgia" w:hAnsi="Georgia"/>
          <w:color w:val="1A1A2E"/>
          <w:sz w:val="24"/>
          <w:szCs w:val="24"/>
        </w:rPr>
        <w:t xml:space="preserve"> That is the real limit. And recognizing the pattern—naming the loop—restores the possibility of refusal.</w:t>
      </w:r>
    </w:p>
    <w:p>
      <w:r>
        <w:br w:type="page"/>
      </w:r>
    </w:p>
    <w:p>
      <w:pPr>
        <w:pStyle w:val="Heading1"/>
        <w:spacing w:after="240" w:before="480"/>
      </w:pPr>
      <w:r>
        <w:rPr>
          <w:rFonts w:ascii="Georgia" w:cs="Georgia" w:eastAsia="Georgia" w:hAnsi="Georgia"/>
          <w:b/>
          <w:bCs/>
          <w:color w:val="1A1A2E"/>
          <w:sz w:val="36"/>
          <w:szCs w:val="36"/>
        </w:rPr>
        <w:t xml:space="preserve">References</w:t>
      </w:r>
    </w:p>
    <w:p>
      <w:pPr>
        <w:spacing w:after="200" w:line="320"/>
      </w:pPr>
      <w:r>
        <w:rPr>
          <w:rFonts w:ascii="Georgia" w:cs="Georgia" w:eastAsia="Georgia" w:hAnsi="Georgia"/>
          <w:color w:val="1A1A2E"/>
          <w:sz w:val="24"/>
          <w:szCs w:val="24"/>
        </w:rPr>
        <w:t xml:space="preserve">Campbell, D.T. (1979). Assessing the impact of planned social change. </w:t>
      </w:r>
      <w:r>
        <w:rPr>
          <w:rFonts w:ascii="Georgia" w:cs="Georgia" w:eastAsia="Georgia" w:hAnsi="Georgia"/>
          <w:i/>
          <w:iCs/>
          <w:color w:val="1A1A2E"/>
          <w:sz w:val="24"/>
          <w:szCs w:val="24"/>
        </w:rPr>
        <w:t xml:space="preserve">Evaluation and Program Planning</w:t>
      </w:r>
      <w:r>
        <w:rPr>
          <w:rFonts w:ascii="Georgia" w:cs="Georgia" w:eastAsia="Georgia" w:hAnsi="Georgia"/>
          <w:color w:val="1A1A2E"/>
          <w:sz w:val="24"/>
          <w:szCs w:val="24"/>
        </w:rPr>
        <w:t xml:space="preserve">, 2(1), 67–90.</w:t>
      </w:r>
    </w:p>
    <w:p>
      <w:pPr>
        <w:spacing w:after="100"/>
      </w:pPr>
    </w:p>
    <w:p>
      <w:pPr>
        <w:spacing w:after="200" w:line="320"/>
      </w:pPr>
      <w:r>
        <w:rPr>
          <w:rFonts w:ascii="Georgia" w:cs="Georgia" w:eastAsia="Georgia" w:hAnsi="Georgia"/>
          <w:color w:val="1A1A2E"/>
          <w:sz w:val="24"/>
          <w:szCs w:val="24"/>
        </w:rPr>
        <w:t xml:space="preserve">Goodhart, C.A.E. (1975). Problems of monetary management: The U.K. experience. In </w:t>
      </w:r>
      <w:r>
        <w:rPr>
          <w:rFonts w:ascii="Georgia" w:cs="Georgia" w:eastAsia="Georgia" w:hAnsi="Georgia"/>
          <w:i/>
          <w:iCs/>
          <w:color w:val="1A1A2E"/>
          <w:sz w:val="24"/>
          <w:szCs w:val="24"/>
        </w:rPr>
        <w:t xml:space="preserve">Papers in Monetary Economics</w:t>
      </w:r>
      <w:r>
        <w:rPr>
          <w:rFonts w:ascii="Georgia" w:cs="Georgia" w:eastAsia="Georgia" w:hAnsi="Georgia"/>
          <w:color w:val="1A1A2E"/>
          <w:sz w:val="24"/>
          <w:szCs w:val="24"/>
        </w:rPr>
        <w:t xml:space="preserve">, Vol. I. Sydney: Reserve Bank of Australia.</w:t>
      </w:r>
    </w:p>
    <w:p>
      <w:pPr>
        <w:spacing w:after="100"/>
      </w:pPr>
    </w:p>
    <w:p>
      <w:pPr>
        <w:spacing w:after="200" w:line="320"/>
      </w:pPr>
      <w:r>
        <w:rPr>
          <w:rFonts w:ascii="Georgia" w:cs="Georgia" w:eastAsia="Georgia" w:hAnsi="Georgia"/>
          <w:color w:val="1A1A2E"/>
          <w:sz w:val="24"/>
          <w:szCs w:val="24"/>
        </w:rPr>
        <w:t xml:space="preserve">Manheim, D. &amp; Garrabrant, S. (2018). Categorizing variants of Goodhart’s Law. </w:t>
      </w:r>
      <w:r>
        <w:rPr>
          <w:rFonts w:ascii="Georgia" w:cs="Georgia" w:eastAsia="Georgia" w:hAnsi="Georgia"/>
          <w:i/>
          <w:iCs/>
          <w:color w:val="1A1A2E"/>
          <w:sz w:val="24"/>
          <w:szCs w:val="24"/>
        </w:rPr>
        <w:t xml:space="preserve">arXiv</w:t>
      </w:r>
      <w:r>
        <w:rPr>
          <w:rFonts w:ascii="Georgia" w:cs="Georgia" w:eastAsia="Georgia" w:hAnsi="Georgia"/>
          <w:color w:val="1A1A2E"/>
          <w:sz w:val="24"/>
          <w:szCs w:val="24"/>
        </w:rPr>
        <w:t xml:space="preserve">:1803.04585.</w:t>
      </w:r>
    </w:p>
    <w:p>
      <w:pPr>
        <w:spacing w:after="100"/>
      </w:pPr>
    </w:p>
    <w:p>
      <w:pPr>
        <w:spacing w:after="200" w:line="320"/>
      </w:pPr>
      <w:r>
        <w:rPr>
          <w:rFonts w:ascii="Georgia" w:cs="Georgia" w:eastAsia="Georgia" w:hAnsi="Georgia"/>
          <w:color w:val="1A1A2E"/>
          <w:sz w:val="24"/>
          <w:szCs w:val="24"/>
        </w:rPr>
        <w:t xml:space="preserve">Muller, J.Z. (2018). </w:t>
      </w:r>
      <w:r>
        <w:rPr>
          <w:rFonts w:ascii="Georgia" w:cs="Georgia" w:eastAsia="Georgia" w:hAnsi="Georgia"/>
          <w:i/>
          <w:iCs/>
          <w:color w:val="1A1A2E"/>
          <w:sz w:val="24"/>
          <w:szCs w:val="24"/>
        </w:rPr>
        <w:t xml:space="preserve">The Tyranny of Metrics</w:t>
      </w:r>
      <w:r>
        <w:rPr>
          <w:rFonts w:ascii="Georgia" w:cs="Georgia" w:eastAsia="Georgia" w:hAnsi="Georgia"/>
          <w:color w:val="1A1A2E"/>
          <w:sz w:val="24"/>
          <w:szCs w:val="24"/>
        </w:rPr>
        <w:t xml:space="preserve">. Princeton: Princeton University Press.</w:t>
      </w:r>
    </w:p>
    <w:p>
      <w:pPr>
        <w:spacing w:after="100"/>
      </w:pPr>
    </w:p>
    <w:p>
      <w:pPr>
        <w:spacing w:after="200" w:line="320"/>
      </w:pPr>
      <w:r>
        <w:rPr>
          <w:rFonts w:ascii="Georgia" w:cs="Georgia" w:eastAsia="Georgia" w:hAnsi="Georgia"/>
          <w:color w:val="1A1A2E"/>
          <w:sz w:val="24"/>
          <w:szCs w:val="24"/>
        </w:rPr>
        <w:t xml:space="preserve">Strathern, M. (1997). ‘Improving ratings’: Audit in the British university system. </w:t>
      </w:r>
      <w:r>
        <w:rPr>
          <w:rFonts w:ascii="Georgia" w:cs="Georgia" w:eastAsia="Georgia" w:hAnsi="Georgia"/>
          <w:i/>
          <w:iCs/>
          <w:color w:val="1A1A2E"/>
          <w:sz w:val="24"/>
          <w:szCs w:val="24"/>
        </w:rPr>
        <w:t xml:space="preserve">European Review</w:t>
      </w:r>
      <w:r>
        <w:rPr>
          <w:rFonts w:ascii="Georgia" w:cs="Georgia" w:eastAsia="Georgia" w:hAnsi="Georgia"/>
          <w:color w:val="1A1A2E"/>
          <w:sz w:val="24"/>
          <w:szCs w:val="24"/>
        </w:rPr>
        <w:t xml:space="preserve">, 5(3), 305–321.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B7B8D"/>
        <w:sz w:val="18"/>
        <w:szCs w:val="18"/>
      </w:rPr>
      <w:t xml:space="preserve">Draft v2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B7B8D"/>
        <w:sz w:val="18"/>
        <w:szCs w:val="18"/>
      </w:rPr>
      <w:t xml:space="preserve">DODO-X and R-RENEW  •  Working Paper in Memetic Ecology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2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Georgia" w:cs="Georgia" w:eastAsia="Georgia" w:hAnsi="Georgia"/>
      <w:b/>
      <w:bCs/>
      <w:color w:val="1A1A2E"/>
      <w:sz w:val="36"/>
      <w:szCs w:val="36"/>
    </w:rPr>
  </w:style>
  <w:style w:type="paragraph" w:styleId="Heading2">
    <w:name w:val="Heading 2"/>
    <w:basedOn w:val="Normal"/>
    <w:next w:val="Normal"/>
    <w:qFormat/>
    <w:pPr>
      <w:spacing w:after="200" w:before="360"/>
      <w:outlineLvl w:val="1"/>
    </w:pPr>
    <w:rPr>
      <w:rFonts w:ascii="Georgia" w:cs="Georgia" w:eastAsia="Georgia" w:hAnsi="Georgia"/>
      <w:b/>
      <w:bCs/>
      <w:color w:val="4A6FA5"/>
      <w:sz w:val="30"/>
      <w:szCs w:val="30"/>
    </w:rPr>
  </w:style>
  <w:style w:type="paragraph" w:styleId="Heading3">
    <w:name w:val="Heading 3"/>
    <w:basedOn w:val="Normal"/>
    <w:next w:val="Normal"/>
    <w:qFormat/>
    <w:pPr>
      <w:spacing w:after="160" w:before="280"/>
      <w:outlineLvl w:val="2"/>
    </w:pPr>
    <w:rPr>
      <w:rFonts w:ascii="Georgia" w:cs="Georgia" w:eastAsia="Georgia" w:hAnsi="Georgia"/>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2026-03-05T22:18:49.221Z</dcterms:created>
  <dcterms:modified xsi:type="dcterms:W3CDTF">2026-03-05T22:18:49.222Z</dcterms:modified>
</cp:coreProperties>
</file>

<file path=docProps/custom.xml><?xml version="1.0" encoding="utf-8"?>
<Properties xmlns="http://schemas.openxmlformats.org/officeDocument/2006/custom-properties" xmlns:vt="http://schemas.openxmlformats.org/officeDocument/2006/docPropsVTypes"/>
</file>