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77777777" w:rsidR="001308B5" w:rsidRDefault="001308B5"/>
    <w:p w14:paraId="1D4C7656" w14:textId="77777777" w:rsidR="00B52EC1" w:rsidRDefault="00B52EC1">
      <w:r>
        <w:t>Les risques identifies sont ;</w:t>
      </w:r>
    </w:p>
    <w:tbl>
      <w:tblPr>
        <w:tblStyle w:val="Grilledutableau"/>
        <w:tblW w:w="0" w:type="auto"/>
        <w:tblLook w:val="04A0" w:firstRow="1" w:lastRow="0" w:firstColumn="1" w:lastColumn="0" w:noHBand="0" w:noVBand="1"/>
      </w:tblPr>
      <w:tblGrid>
        <w:gridCol w:w="1413"/>
        <w:gridCol w:w="97"/>
        <w:gridCol w:w="1510"/>
        <w:gridCol w:w="1510"/>
        <w:gridCol w:w="1510"/>
        <w:gridCol w:w="1511"/>
        <w:gridCol w:w="1511"/>
      </w:tblGrid>
      <w:tr w:rsidR="00900E36" w14:paraId="5CB27310" w14:textId="77777777" w:rsidTr="00900E36">
        <w:tc>
          <w:tcPr>
            <w:tcW w:w="1510" w:type="dxa"/>
            <w:gridSpan w:val="2"/>
          </w:tcPr>
          <w:p w14:paraId="2F8F6F8B" w14:textId="122F65FD" w:rsidR="00900E36" w:rsidRDefault="00900E36">
            <w:r>
              <w:t>Risque</w:t>
            </w:r>
          </w:p>
        </w:tc>
        <w:tc>
          <w:tcPr>
            <w:tcW w:w="1510" w:type="dxa"/>
          </w:tcPr>
          <w:p w14:paraId="2CB6E4DD" w14:textId="51845C40" w:rsidR="00900E36" w:rsidRDefault="000F10D3">
            <w:r>
              <w:t>Contexte</w:t>
            </w:r>
          </w:p>
        </w:tc>
        <w:tc>
          <w:tcPr>
            <w:tcW w:w="1510" w:type="dxa"/>
          </w:tcPr>
          <w:p w14:paraId="7F76C30E" w14:textId="19941EB1" w:rsidR="00900E36" w:rsidRDefault="00900E36">
            <w:r>
              <w:t xml:space="preserve">Risque </w:t>
            </w:r>
          </w:p>
        </w:tc>
        <w:tc>
          <w:tcPr>
            <w:tcW w:w="1510" w:type="dxa"/>
          </w:tcPr>
          <w:p w14:paraId="0A25E8F3" w14:textId="58D82E27" w:rsidR="00900E36" w:rsidRDefault="00900E36">
            <w:r>
              <w:t>Gravite</w:t>
            </w:r>
          </w:p>
        </w:tc>
        <w:tc>
          <w:tcPr>
            <w:tcW w:w="1511" w:type="dxa"/>
          </w:tcPr>
          <w:p w14:paraId="6B66654D" w14:textId="27C3AB3B" w:rsidR="00900E36" w:rsidRDefault="000F10D3">
            <w:r>
              <w:t>Probabilité</w:t>
            </w:r>
          </w:p>
        </w:tc>
        <w:tc>
          <w:tcPr>
            <w:tcW w:w="1511" w:type="dxa"/>
          </w:tcPr>
          <w:p w14:paraId="52492F8F" w14:textId="4CAD777C" w:rsidR="00900E36" w:rsidRDefault="00900E36">
            <w:r>
              <w:t>Risque à traiter ou à surveiller</w:t>
            </w:r>
          </w:p>
        </w:tc>
      </w:tr>
      <w:tr w:rsidR="00900E36" w14:paraId="2BB33AF4" w14:textId="77777777" w:rsidTr="00900E36">
        <w:tc>
          <w:tcPr>
            <w:tcW w:w="1510" w:type="dxa"/>
            <w:gridSpan w:val="2"/>
          </w:tcPr>
          <w:p w14:paraId="44F51F27" w14:textId="5567929D" w:rsidR="00900E36" w:rsidRDefault="00900E36">
            <w:r>
              <w:t xml:space="preserve">Insatisfaction des </w:t>
            </w:r>
            <w:r w:rsidR="000F10D3">
              <w:t>clients</w:t>
            </w:r>
          </w:p>
        </w:tc>
        <w:tc>
          <w:tcPr>
            <w:tcW w:w="1510" w:type="dxa"/>
          </w:tcPr>
          <w:p w14:paraId="0AB8FC0E" w14:textId="0E9ADA88" w:rsidR="00900E36" w:rsidRDefault="00900E36">
            <w:r>
              <w:t xml:space="preserve">Rupture de stock </w:t>
            </w:r>
          </w:p>
        </w:tc>
        <w:tc>
          <w:tcPr>
            <w:tcW w:w="1510" w:type="dxa"/>
          </w:tcPr>
          <w:p w14:paraId="75AA533D" w14:textId="2BD4818F" w:rsidR="00900E36" w:rsidRDefault="00900E36">
            <w:r>
              <w:t>Perte de client</w:t>
            </w:r>
          </w:p>
        </w:tc>
        <w:tc>
          <w:tcPr>
            <w:tcW w:w="1510" w:type="dxa"/>
          </w:tcPr>
          <w:p w14:paraId="2248472B" w14:textId="59929B51" w:rsidR="00900E36" w:rsidRDefault="00900E36">
            <w:r>
              <w:t xml:space="preserve">Significatif </w:t>
            </w:r>
          </w:p>
        </w:tc>
        <w:tc>
          <w:tcPr>
            <w:tcW w:w="1511" w:type="dxa"/>
          </w:tcPr>
          <w:p w14:paraId="49DF07C6" w14:textId="13BA8CB3" w:rsidR="00900E36" w:rsidRDefault="00900E36">
            <w:r>
              <w:t xml:space="preserve">Très probable </w:t>
            </w:r>
          </w:p>
        </w:tc>
        <w:tc>
          <w:tcPr>
            <w:tcW w:w="1511" w:type="dxa"/>
          </w:tcPr>
          <w:p w14:paraId="0C3A17E4" w14:textId="31EB2D69" w:rsidR="00900E36" w:rsidRDefault="000F10D3">
            <w:r>
              <w:t xml:space="preserve">A traiter </w:t>
            </w:r>
          </w:p>
        </w:tc>
      </w:tr>
      <w:tr w:rsidR="00900E36" w14:paraId="56ABCF1D" w14:textId="77777777" w:rsidTr="00900E36">
        <w:tc>
          <w:tcPr>
            <w:tcW w:w="1510" w:type="dxa"/>
            <w:gridSpan w:val="2"/>
          </w:tcPr>
          <w:p w14:paraId="15E9742A" w14:textId="05B8609D" w:rsidR="00900E36" w:rsidRDefault="000F10D3">
            <w:r>
              <w:t>Perte du CA</w:t>
            </w:r>
          </w:p>
        </w:tc>
        <w:tc>
          <w:tcPr>
            <w:tcW w:w="1510" w:type="dxa"/>
          </w:tcPr>
          <w:p w14:paraId="381A3AB6" w14:textId="7DFC94DF" w:rsidR="00900E36" w:rsidRDefault="000F10D3">
            <w:r>
              <w:t xml:space="preserve">Vente non réalisées / Diminution des ventes </w:t>
            </w:r>
          </w:p>
        </w:tc>
        <w:tc>
          <w:tcPr>
            <w:tcW w:w="1510" w:type="dxa"/>
          </w:tcPr>
          <w:p w14:paraId="614B2E95" w14:textId="10FEBBB8" w:rsidR="00900E36" w:rsidRDefault="000F10D3">
            <w:r>
              <w:t>Baisse du CA ET DO</w:t>
            </w:r>
          </w:p>
        </w:tc>
        <w:tc>
          <w:tcPr>
            <w:tcW w:w="1510" w:type="dxa"/>
          </w:tcPr>
          <w:p w14:paraId="1C46FB7F" w14:textId="0ADF19C8" w:rsidR="00900E36" w:rsidRDefault="000F10D3">
            <w:r>
              <w:t>Significatif</w:t>
            </w:r>
          </w:p>
        </w:tc>
        <w:tc>
          <w:tcPr>
            <w:tcW w:w="1511" w:type="dxa"/>
          </w:tcPr>
          <w:p w14:paraId="6A2B0A28" w14:textId="5BAD0304" w:rsidR="00900E36" w:rsidRDefault="000F10D3">
            <w:r>
              <w:t xml:space="preserve">Très probable </w:t>
            </w:r>
          </w:p>
        </w:tc>
        <w:tc>
          <w:tcPr>
            <w:tcW w:w="1511" w:type="dxa"/>
          </w:tcPr>
          <w:p w14:paraId="10318444" w14:textId="14AB6378" w:rsidR="00900E36" w:rsidRDefault="000F10D3">
            <w:r>
              <w:t xml:space="preserve">A surveiller </w:t>
            </w:r>
          </w:p>
        </w:tc>
      </w:tr>
      <w:tr w:rsidR="000F10D3" w14:paraId="05F7D566" w14:textId="77777777" w:rsidTr="00900E36">
        <w:tc>
          <w:tcPr>
            <w:tcW w:w="1510" w:type="dxa"/>
            <w:gridSpan w:val="2"/>
          </w:tcPr>
          <w:p w14:paraId="494B1A4E" w14:textId="32FFF40B" w:rsidR="000F10D3" w:rsidRDefault="000F10D3">
            <w:r>
              <w:t xml:space="preserve">Perte de crédibilité </w:t>
            </w:r>
          </w:p>
        </w:tc>
        <w:tc>
          <w:tcPr>
            <w:tcW w:w="1510" w:type="dxa"/>
          </w:tcPr>
          <w:p w14:paraId="613CEEB0" w14:textId="25B2B74B" w:rsidR="000F10D3" w:rsidRDefault="000F10D3">
            <w:r>
              <w:t>Mauvaise image de la gestion de l’entreprise pour l’offre des produits</w:t>
            </w:r>
          </w:p>
        </w:tc>
        <w:tc>
          <w:tcPr>
            <w:tcW w:w="1510" w:type="dxa"/>
          </w:tcPr>
          <w:p w14:paraId="799DB34C" w14:textId="37656FDC" w:rsidR="000F10D3" w:rsidRDefault="000F10D3">
            <w:r>
              <w:t>Perte des clients</w:t>
            </w:r>
          </w:p>
        </w:tc>
        <w:tc>
          <w:tcPr>
            <w:tcW w:w="1510" w:type="dxa"/>
          </w:tcPr>
          <w:p w14:paraId="31F450E3" w14:textId="269EF8DD" w:rsidR="000F10D3" w:rsidRDefault="000F10D3">
            <w:r>
              <w:t xml:space="preserve">Grave </w:t>
            </w:r>
          </w:p>
        </w:tc>
        <w:tc>
          <w:tcPr>
            <w:tcW w:w="1511" w:type="dxa"/>
          </w:tcPr>
          <w:p w14:paraId="04CFEC0F" w14:textId="55FD1A00" w:rsidR="000F10D3" w:rsidRDefault="000F10D3">
            <w:r>
              <w:t xml:space="preserve">Probable </w:t>
            </w:r>
          </w:p>
        </w:tc>
        <w:tc>
          <w:tcPr>
            <w:tcW w:w="1511" w:type="dxa"/>
          </w:tcPr>
          <w:p w14:paraId="379FBBE3" w14:textId="63717651" w:rsidR="000F10D3" w:rsidRDefault="000F10D3">
            <w:r>
              <w:t xml:space="preserve">A traiter et </w:t>
            </w:r>
            <w:proofErr w:type="gramStart"/>
            <w:r>
              <w:t>a</w:t>
            </w:r>
            <w:proofErr w:type="gramEnd"/>
            <w:r>
              <w:t xml:space="preserve"> surveiller </w:t>
            </w:r>
          </w:p>
        </w:tc>
      </w:tr>
      <w:tr w:rsidR="003C2A27" w14:paraId="0A5A1090" w14:textId="77777777" w:rsidTr="003C2A27">
        <w:tc>
          <w:tcPr>
            <w:tcW w:w="1413" w:type="dxa"/>
          </w:tcPr>
          <w:p w14:paraId="101BF612" w14:textId="523B9B95" w:rsidR="003C2A27" w:rsidRDefault="003C2A27">
            <w:r>
              <w:t xml:space="preserve">Rupture du stock </w:t>
            </w:r>
          </w:p>
        </w:tc>
        <w:tc>
          <w:tcPr>
            <w:tcW w:w="1607" w:type="dxa"/>
            <w:gridSpan w:val="2"/>
          </w:tcPr>
          <w:p w14:paraId="1BBBD28E" w14:textId="2FABD526" w:rsidR="003C2A27" w:rsidRDefault="003C2A27">
            <w:r>
              <w:t xml:space="preserve">Rupture </w:t>
            </w:r>
            <w:r w:rsidRPr="003C2A27">
              <w:t xml:space="preserve">à 10 </w:t>
            </w:r>
            <w:proofErr w:type="gramStart"/>
            <w:r w:rsidRPr="003C2A27">
              <w:t>reprise</w:t>
            </w:r>
            <w:proofErr w:type="gramEnd"/>
            <w:r w:rsidRPr="003C2A27">
              <w:t xml:space="preserve"> de stock sur l’un des produits</w:t>
            </w:r>
            <w:r>
              <w:t xml:space="preserve"> et qui est remplacé par un produit équivalent </w:t>
            </w:r>
            <w:r w:rsidRPr="003C2A27">
              <w:t xml:space="preserve">  </w:t>
            </w:r>
          </w:p>
        </w:tc>
        <w:tc>
          <w:tcPr>
            <w:tcW w:w="1510" w:type="dxa"/>
          </w:tcPr>
          <w:p w14:paraId="0F89460A" w14:textId="2C789CDE" w:rsidR="003C2A27" w:rsidRDefault="003C2A27">
            <w:r>
              <w:t>Perte de CA / Clients</w:t>
            </w:r>
          </w:p>
        </w:tc>
        <w:tc>
          <w:tcPr>
            <w:tcW w:w="1510" w:type="dxa"/>
          </w:tcPr>
          <w:p w14:paraId="2050A6CE" w14:textId="43C6FA59" w:rsidR="003C2A27" w:rsidRDefault="003C2A27">
            <w:r>
              <w:t>Significatif</w:t>
            </w:r>
          </w:p>
        </w:tc>
        <w:tc>
          <w:tcPr>
            <w:tcW w:w="1511" w:type="dxa"/>
          </w:tcPr>
          <w:p w14:paraId="511BF704" w14:textId="28256948" w:rsidR="003C2A27" w:rsidRDefault="003C2A27">
            <w:r>
              <w:t>Probable.</w:t>
            </w:r>
          </w:p>
        </w:tc>
        <w:tc>
          <w:tcPr>
            <w:tcW w:w="1511" w:type="dxa"/>
          </w:tcPr>
          <w:p w14:paraId="38E0278D" w14:textId="07D3CF28" w:rsidR="003C2A27" w:rsidRDefault="003C2A27">
            <w:r>
              <w:t xml:space="preserve">A Traiter et à surveiller </w:t>
            </w:r>
          </w:p>
        </w:tc>
      </w:tr>
    </w:tbl>
    <w:p w14:paraId="4343A078" w14:textId="24D672B9"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8D3778E" w14:textId="37C790E5" w:rsidR="00B52EC1" w:rsidRDefault="00175CFD" w:rsidP="00175CFD">
      <w:pPr>
        <w:rPr>
          <w:b/>
          <w:bCs/>
          <w:i/>
          <w:iCs/>
          <w:u w:val="single"/>
        </w:rPr>
      </w:pPr>
      <w:r w:rsidRPr="001308B5">
        <w:rPr>
          <w:b/>
          <w:bCs/>
          <w:i/>
          <w:iCs/>
          <w:u w:val="single"/>
        </w:rPr>
        <w:t xml:space="preserve">Votre réponse : </w:t>
      </w:r>
    </w:p>
    <w:p w14:paraId="757C9CA2" w14:textId="0543D76D" w:rsidR="000F10D3" w:rsidRPr="000F10D3" w:rsidRDefault="000F10D3" w:rsidP="00175CFD">
      <w:r w:rsidRPr="000F10D3">
        <w:t>Le responsable du servic</w:t>
      </w:r>
      <w:r>
        <w:t>e</w:t>
      </w:r>
      <w:r w:rsidRPr="000F10D3">
        <w:t xml:space="preserve"> achat mandate </w:t>
      </w:r>
      <w:r w:rsidR="003C2A27" w:rsidRPr="000F10D3">
        <w:t>l’audit.</w:t>
      </w:r>
    </w:p>
    <w:p w14:paraId="746E872B" w14:textId="0A4A1E89" w:rsidR="003C2A27" w:rsidRDefault="000F10D3" w:rsidP="00175CFD">
      <w:r w:rsidRPr="000F10D3">
        <w:t xml:space="preserve">L’audit est réalisé par </w:t>
      </w:r>
      <w:r w:rsidR="003C2A27">
        <w:t>l’approvisionneur.</w:t>
      </w:r>
    </w:p>
    <w:p w14:paraId="33C63766" w14:textId="3C85864A" w:rsidR="003C2A27" w:rsidRDefault="003C2A27" w:rsidP="00175CFD">
      <w:r>
        <w:t>Il est choisi sur les critères de sa capacite à définir</w:t>
      </w:r>
    </w:p>
    <w:p w14:paraId="43A93AB2" w14:textId="2E425A04" w:rsidR="003C2A27" w:rsidRDefault="003C2A27" w:rsidP="003C2A27">
      <w:pPr>
        <w:pStyle w:val="Paragraphedeliste"/>
        <w:numPr>
          <w:ilvl w:val="0"/>
          <w:numId w:val="9"/>
        </w:numPr>
      </w:pPr>
      <w:r>
        <w:t xml:space="preserve">La politique de gestion des stocks </w:t>
      </w:r>
    </w:p>
    <w:p w14:paraId="5E531807" w14:textId="5E13F3E8" w:rsidR="003C2A27" w:rsidRPr="003C2A27" w:rsidRDefault="003C2A27" w:rsidP="003C2A27">
      <w:pPr>
        <w:pStyle w:val="Paragraphedeliste"/>
        <w:numPr>
          <w:ilvl w:val="0"/>
          <w:numId w:val="9"/>
        </w:numPr>
        <w:rPr>
          <w:rFonts w:ascii="Arial" w:hAnsi="Arial" w:cs="Arial"/>
          <w:color w:val="202124"/>
          <w:shd w:val="clear" w:color="auto" w:fill="FFFFFF"/>
        </w:rPr>
      </w:pPr>
      <w:r>
        <w:t>La mise en place d’un plan</w:t>
      </w:r>
      <w:r w:rsidRPr="003C2A27">
        <w:rPr>
          <w:rFonts w:ascii="Arial" w:hAnsi="Arial" w:cs="Arial"/>
          <w:color w:val="202124"/>
          <w:shd w:val="clear" w:color="auto" w:fill="FFFFFF"/>
        </w:rPr>
        <w:t xml:space="preserve"> d'approvisionnements au moyen de la base de prévisions, du plan commercial </w:t>
      </w:r>
    </w:p>
    <w:p w14:paraId="14E86CD4" w14:textId="4EA644B4" w:rsidR="009E0A08" w:rsidRPr="00656D45" w:rsidRDefault="003C2A27" w:rsidP="003C2A27">
      <w:pPr>
        <w:pStyle w:val="Paragraphedeliste"/>
        <w:numPr>
          <w:ilvl w:val="0"/>
          <w:numId w:val="9"/>
        </w:numPr>
      </w:pPr>
      <w:r w:rsidRPr="003C2A27">
        <w:rPr>
          <w:rFonts w:ascii="Arial" w:hAnsi="Arial" w:cs="Arial"/>
          <w:color w:val="202124"/>
          <w:shd w:val="clear" w:color="auto" w:fill="FFFFFF"/>
        </w:rPr>
        <w:t xml:space="preserve">Le traitement et le suivi des commandes aux fournisseurs jusqu'à la </w:t>
      </w:r>
      <w:r w:rsidRPr="003C2A27">
        <w:rPr>
          <w:rFonts w:ascii="Arial" w:hAnsi="Arial" w:cs="Arial"/>
          <w:color w:val="202124"/>
          <w:shd w:val="clear" w:color="auto" w:fill="FFFFFF"/>
        </w:rPr>
        <w:t>livraison</w:t>
      </w:r>
    </w:p>
    <w:p w14:paraId="5BA68488" w14:textId="57E61426" w:rsidR="00656D45" w:rsidRDefault="00656D45" w:rsidP="003C2A27">
      <w:pPr>
        <w:pStyle w:val="Paragraphedeliste"/>
        <w:numPr>
          <w:ilvl w:val="0"/>
          <w:numId w:val="9"/>
        </w:numPr>
      </w:pPr>
      <w:r>
        <w:rPr>
          <w:rFonts w:ascii="Arial" w:hAnsi="Arial" w:cs="Arial"/>
          <w:color w:val="202124"/>
          <w:shd w:val="clear" w:color="auto" w:fill="FFFFFF"/>
        </w:rPr>
        <w:t xml:space="preserve">Garantir la mise à disposition des produits pour éviter les ruptures </w:t>
      </w:r>
    </w:p>
    <w:p w14:paraId="40A3D6F4" w14:textId="7B3249B1" w:rsidR="003C2A27" w:rsidRDefault="003C2A27"/>
    <w:p w14:paraId="53421445" w14:textId="77777777" w:rsidR="003C2A27" w:rsidRDefault="003C2A27"/>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15C45262" w:rsidR="008416E0" w:rsidRDefault="008416E0" w:rsidP="008416E0">
      <w:pPr>
        <w:rPr>
          <w:b/>
          <w:bCs/>
          <w:i/>
          <w:iCs/>
          <w:u w:val="single"/>
        </w:rPr>
      </w:pPr>
      <w:r w:rsidRPr="001308B5">
        <w:rPr>
          <w:b/>
          <w:bCs/>
          <w:i/>
          <w:iCs/>
          <w:u w:val="single"/>
        </w:rPr>
        <w:t xml:space="preserve">Votre réponse : </w:t>
      </w:r>
    </w:p>
    <w:p w14:paraId="279948F4" w14:textId="3E9079D4" w:rsidR="00656D45" w:rsidRDefault="00656D45" w:rsidP="008416E0">
      <w:pPr>
        <w:rPr>
          <w:b/>
          <w:bCs/>
          <w:i/>
          <w:iCs/>
          <w:u w:val="single"/>
        </w:rPr>
      </w:pPr>
    </w:p>
    <w:p w14:paraId="038F2D42" w14:textId="598FCB40" w:rsidR="00402D84" w:rsidRDefault="00402D84" w:rsidP="00656D45">
      <w:r>
        <w:t>Les étapes de l’audit ;</w:t>
      </w:r>
    </w:p>
    <w:p w14:paraId="080FBAB2" w14:textId="77777777" w:rsidR="00402D84" w:rsidRDefault="00402D84" w:rsidP="009D6BB8">
      <w:pPr>
        <w:pStyle w:val="Paragraphedeliste"/>
        <w:numPr>
          <w:ilvl w:val="0"/>
          <w:numId w:val="10"/>
        </w:numPr>
      </w:pPr>
      <w:r>
        <w:t xml:space="preserve">Audition du service des approvisionnent </w:t>
      </w:r>
    </w:p>
    <w:p w14:paraId="2802CCC2" w14:textId="77777777" w:rsidR="00402D84" w:rsidRDefault="00402D84" w:rsidP="009D6BB8">
      <w:pPr>
        <w:pStyle w:val="Paragraphedeliste"/>
        <w:numPr>
          <w:ilvl w:val="0"/>
          <w:numId w:val="10"/>
        </w:numPr>
      </w:pPr>
      <w:r>
        <w:t xml:space="preserve">Audition du service gestion du stock </w:t>
      </w:r>
    </w:p>
    <w:p w14:paraId="515CC45A" w14:textId="77777777" w:rsidR="009D6BB8" w:rsidRDefault="00402D84" w:rsidP="009D6BB8">
      <w:pPr>
        <w:pStyle w:val="Paragraphedeliste"/>
        <w:numPr>
          <w:ilvl w:val="0"/>
          <w:numId w:val="10"/>
        </w:numPr>
      </w:pPr>
      <w:r>
        <w:t xml:space="preserve">Audition du service </w:t>
      </w:r>
      <w:r w:rsidR="009D6BB8">
        <w:t>client</w:t>
      </w:r>
      <w:r>
        <w:t xml:space="preserve"> </w:t>
      </w:r>
    </w:p>
    <w:p w14:paraId="05CC39E5" w14:textId="77777777" w:rsidR="009D6BB8" w:rsidRDefault="009D6BB8" w:rsidP="009D6BB8"/>
    <w:p w14:paraId="50B6817D" w14:textId="77777777" w:rsidR="009D6BB8" w:rsidRDefault="009D6BB8" w:rsidP="009D6BB8"/>
    <w:tbl>
      <w:tblPr>
        <w:tblStyle w:val="Grilledutableau"/>
        <w:tblW w:w="0" w:type="auto"/>
        <w:tblLook w:val="04A0" w:firstRow="1" w:lastRow="0" w:firstColumn="1" w:lastColumn="0" w:noHBand="0" w:noVBand="1"/>
      </w:tblPr>
      <w:tblGrid>
        <w:gridCol w:w="2380"/>
        <w:gridCol w:w="2235"/>
        <w:gridCol w:w="1742"/>
        <w:gridCol w:w="2500"/>
      </w:tblGrid>
      <w:tr w:rsidR="00C07937" w14:paraId="2F58161A" w14:textId="77777777" w:rsidTr="00C07937">
        <w:trPr>
          <w:trHeight w:val="221"/>
        </w:trPr>
        <w:tc>
          <w:tcPr>
            <w:tcW w:w="2380" w:type="dxa"/>
          </w:tcPr>
          <w:p w14:paraId="77374E78" w14:textId="22782E88" w:rsidR="00C07937" w:rsidRDefault="00C07937" w:rsidP="009D6BB8">
            <w:r>
              <w:t xml:space="preserve">Responsable </w:t>
            </w:r>
          </w:p>
        </w:tc>
        <w:tc>
          <w:tcPr>
            <w:tcW w:w="2235" w:type="dxa"/>
          </w:tcPr>
          <w:p w14:paraId="7F0619EE" w14:textId="3D3B63B4" w:rsidR="00C07937" w:rsidRDefault="00C07937" w:rsidP="009D6BB8">
            <w:r>
              <w:t xml:space="preserve">Associe </w:t>
            </w:r>
          </w:p>
        </w:tc>
        <w:tc>
          <w:tcPr>
            <w:tcW w:w="1742" w:type="dxa"/>
          </w:tcPr>
          <w:p w14:paraId="1FCA4523" w14:textId="7C54C4E6" w:rsidR="00C07937" w:rsidRDefault="00C07937" w:rsidP="009D6BB8">
            <w:r>
              <w:t>Consulte</w:t>
            </w:r>
          </w:p>
        </w:tc>
        <w:tc>
          <w:tcPr>
            <w:tcW w:w="2500" w:type="dxa"/>
          </w:tcPr>
          <w:p w14:paraId="60D03A43" w14:textId="0F3FE3CA" w:rsidR="00C07937" w:rsidRDefault="00C07937" w:rsidP="009D6BB8">
            <w:r>
              <w:t>Informé</w:t>
            </w:r>
          </w:p>
        </w:tc>
      </w:tr>
      <w:tr w:rsidR="00C07937" w14:paraId="4603FBBC" w14:textId="77777777" w:rsidTr="00C07937">
        <w:trPr>
          <w:trHeight w:val="430"/>
        </w:trPr>
        <w:tc>
          <w:tcPr>
            <w:tcW w:w="2380" w:type="dxa"/>
          </w:tcPr>
          <w:p w14:paraId="61549D4A" w14:textId="08BB4F26" w:rsidR="00C07937" w:rsidRDefault="00C07937" w:rsidP="009D6BB8">
            <w:r w:rsidRPr="00C07937">
              <w:t>Service des achats</w:t>
            </w:r>
          </w:p>
        </w:tc>
        <w:tc>
          <w:tcPr>
            <w:tcW w:w="2235" w:type="dxa"/>
          </w:tcPr>
          <w:p w14:paraId="161E27A7" w14:textId="7085CDFB" w:rsidR="00C07937" w:rsidRDefault="00C07937" w:rsidP="009D6BB8">
            <w:r>
              <w:t>L’approvisionneur</w:t>
            </w:r>
          </w:p>
        </w:tc>
        <w:tc>
          <w:tcPr>
            <w:tcW w:w="1742" w:type="dxa"/>
          </w:tcPr>
          <w:p w14:paraId="0623026B" w14:textId="281DB10E" w:rsidR="00C07937" w:rsidRDefault="00C07937" w:rsidP="009D6BB8">
            <w:r>
              <w:t>Réceptionnaire</w:t>
            </w:r>
          </w:p>
        </w:tc>
        <w:tc>
          <w:tcPr>
            <w:tcW w:w="2500" w:type="dxa"/>
          </w:tcPr>
          <w:p w14:paraId="5F972F71" w14:textId="233B6061" w:rsidR="00C07937" w:rsidRDefault="00C07937" w:rsidP="009D6BB8">
            <w:r>
              <w:t>Préparateur de commandes</w:t>
            </w:r>
          </w:p>
        </w:tc>
      </w:tr>
      <w:tr w:rsidR="00C07937" w14:paraId="0F270A53" w14:textId="77777777" w:rsidTr="00C07937">
        <w:trPr>
          <w:trHeight w:val="1980"/>
        </w:trPr>
        <w:tc>
          <w:tcPr>
            <w:tcW w:w="2380" w:type="dxa"/>
          </w:tcPr>
          <w:p w14:paraId="3AA94E7A" w14:textId="77777777" w:rsidR="00C07937" w:rsidRDefault="00C07937" w:rsidP="00C07937">
            <w:pPr>
              <w:spacing w:after="0" w:line="240" w:lineRule="auto"/>
            </w:pPr>
            <w:r>
              <w:t>Suivi des délais de livraison</w:t>
            </w:r>
          </w:p>
          <w:p w14:paraId="0C347757" w14:textId="77777777" w:rsidR="00C07937" w:rsidRDefault="00C07937" w:rsidP="00C07937">
            <w:pPr>
              <w:spacing w:after="0" w:line="240" w:lineRule="auto"/>
            </w:pPr>
            <w:r>
              <w:t>Analyse des anomalies à la réception</w:t>
            </w:r>
          </w:p>
          <w:p w14:paraId="53D2EFFD" w14:textId="77777777" w:rsidR="00C07937" w:rsidRDefault="00C07937" w:rsidP="00C07937">
            <w:pPr>
              <w:spacing w:after="0" w:line="240" w:lineRule="auto"/>
            </w:pPr>
            <w:r>
              <w:t>Communication et échanges sur les grilles de tarifs et de délais</w:t>
            </w:r>
          </w:p>
          <w:p w14:paraId="21DD348A" w14:textId="4DFCD28D" w:rsidR="00C07937" w:rsidRDefault="00C07937" w:rsidP="00C07937">
            <w:r>
              <w:t>Analyse des tableaux de bord</w:t>
            </w:r>
            <w:r>
              <w:t xml:space="preserve"> </w:t>
            </w:r>
          </w:p>
        </w:tc>
        <w:tc>
          <w:tcPr>
            <w:tcW w:w="2235" w:type="dxa"/>
          </w:tcPr>
          <w:p w14:paraId="4A7BB261" w14:textId="3348074B" w:rsidR="00C07937" w:rsidRDefault="00C07937" w:rsidP="009D6BB8">
            <w:r w:rsidRPr="00C07937">
              <w:t>Calcul les besoins en réapprovisionnements des produits, collecte chaque jour les propositions et les commandes</w:t>
            </w:r>
          </w:p>
        </w:tc>
        <w:tc>
          <w:tcPr>
            <w:tcW w:w="1742" w:type="dxa"/>
          </w:tcPr>
          <w:p w14:paraId="3E35526C" w14:textId="2653E80D" w:rsidR="00C07937" w:rsidRDefault="00C07937" w:rsidP="009D6BB8">
            <w:r>
              <w:t>Réceptionne chaque jour la commande livrée, pour préparer la journée, réception des marchandises</w:t>
            </w:r>
          </w:p>
        </w:tc>
        <w:tc>
          <w:tcPr>
            <w:tcW w:w="2500" w:type="dxa"/>
          </w:tcPr>
          <w:p w14:paraId="26791BAA" w14:textId="4CB45CD1" w:rsidR="00C07937" w:rsidRDefault="00C07937" w:rsidP="009D6BB8">
            <w:r>
              <w:t xml:space="preserve">Edite  le bon de préparation , indiquant le matériel à préparer , quantité et emplacement dans le stock </w:t>
            </w:r>
          </w:p>
        </w:tc>
      </w:tr>
    </w:tbl>
    <w:p w14:paraId="6580C951" w14:textId="06D5BCBE" w:rsidR="00656D45" w:rsidRPr="00656D45" w:rsidRDefault="00656D45" w:rsidP="009D6BB8">
      <w:r w:rsidRPr="00656D45">
        <w:tab/>
      </w:r>
      <w:r w:rsidRPr="00656D45">
        <w:tab/>
      </w:r>
      <w:r w:rsidRPr="00656D45">
        <w:tab/>
      </w:r>
    </w:p>
    <w:p w14:paraId="1EF93702" w14:textId="18B808DC" w:rsidR="00656D45" w:rsidRPr="00656D45" w:rsidRDefault="00656D45" w:rsidP="00656D45">
      <w:r w:rsidRPr="00656D45">
        <w:tab/>
      </w:r>
      <w:r w:rsidRPr="00656D45">
        <w:tab/>
      </w:r>
      <w:r w:rsidRPr="00656D45">
        <w:tab/>
      </w:r>
    </w:p>
    <w:p w14:paraId="2091217D" w14:textId="77777777" w:rsidR="00860264" w:rsidRDefault="00860264"/>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268F12C1" w:rsidR="008416E0" w:rsidRDefault="008416E0" w:rsidP="008416E0">
      <w:pPr>
        <w:rPr>
          <w:b/>
          <w:bCs/>
          <w:i/>
          <w:iCs/>
          <w:u w:val="single"/>
        </w:rPr>
      </w:pPr>
      <w:r w:rsidRPr="001308B5">
        <w:rPr>
          <w:b/>
          <w:bCs/>
          <w:i/>
          <w:iCs/>
          <w:u w:val="single"/>
        </w:rPr>
        <w:t xml:space="preserve">Votre réponse : </w:t>
      </w:r>
    </w:p>
    <w:p w14:paraId="59CF4D1B" w14:textId="00CDDA3B" w:rsidR="00C07937" w:rsidRDefault="00C07937" w:rsidP="008416E0">
      <w:pPr>
        <w:rPr>
          <w:b/>
          <w:bCs/>
          <w:i/>
          <w:iCs/>
          <w:u w:val="single"/>
        </w:rPr>
      </w:pPr>
    </w:p>
    <w:p w14:paraId="7439BF9B" w14:textId="2B320D15" w:rsidR="00C07937" w:rsidRDefault="00C07937" w:rsidP="008416E0">
      <w:pPr>
        <w:rPr>
          <w:i/>
          <w:iCs/>
        </w:rPr>
      </w:pPr>
      <w:r>
        <w:rPr>
          <w:i/>
          <w:iCs/>
        </w:rPr>
        <w:t xml:space="preserve">Les </w:t>
      </w:r>
      <w:r w:rsidR="00A21A48">
        <w:rPr>
          <w:i/>
          <w:iCs/>
        </w:rPr>
        <w:t xml:space="preserve">documents qui peuvent aider cet audit seront les </w:t>
      </w:r>
    </w:p>
    <w:p w14:paraId="3A2CA06B" w14:textId="5D12EEC7" w:rsidR="00A21A48" w:rsidRDefault="00A21A48" w:rsidP="008416E0">
      <w:pPr>
        <w:rPr>
          <w:i/>
          <w:iCs/>
        </w:rPr>
      </w:pPr>
    </w:p>
    <w:p w14:paraId="3A5F3431" w14:textId="50CBA2E5" w:rsidR="00A21A48" w:rsidRDefault="00A21A48" w:rsidP="008416E0">
      <w:pPr>
        <w:rPr>
          <w:i/>
          <w:iCs/>
        </w:rPr>
      </w:pPr>
      <w:r>
        <w:rPr>
          <w:i/>
          <w:iCs/>
        </w:rPr>
        <w:t xml:space="preserve">Outils de gestion interne ; tels que les procédures de travail  </w:t>
      </w:r>
    </w:p>
    <w:p w14:paraId="2F3508C7" w14:textId="01240A6D" w:rsidR="00A21A48" w:rsidRDefault="00A21A48" w:rsidP="008416E0">
      <w:pPr>
        <w:rPr>
          <w:i/>
          <w:iCs/>
        </w:rPr>
      </w:pPr>
      <w:r>
        <w:rPr>
          <w:i/>
          <w:iCs/>
        </w:rPr>
        <w:t xml:space="preserve">Outil informatique sur le taux de rotation </w:t>
      </w:r>
    </w:p>
    <w:p w14:paraId="5EB0B1D1" w14:textId="75908D96" w:rsidR="00A21A48" w:rsidRDefault="00A21A48" w:rsidP="008416E0">
      <w:pPr>
        <w:rPr>
          <w:i/>
          <w:iCs/>
        </w:rPr>
      </w:pPr>
      <w:r>
        <w:rPr>
          <w:i/>
          <w:iCs/>
        </w:rPr>
        <w:t>Les délais des fournisseurs</w:t>
      </w:r>
    </w:p>
    <w:p w14:paraId="300CE92E" w14:textId="5CC10F93" w:rsidR="00A21A48" w:rsidRDefault="00A21A48" w:rsidP="008416E0">
      <w:pPr>
        <w:rPr>
          <w:i/>
          <w:iCs/>
        </w:rPr>
      </w:pPr>
      <w:r>
        <w:rPr>
          <w:i/>
          <w:iCs/>
        </w:rPr>
        <w:t xml:space="preserve">Les comptes rendus d’inventaires </w:t>
      </w:r>
    </w:p>
    <w:p w14:paraId="7BBD6A83" w14:textId="7693BED2" w:rsidR="00A21A48" w:rsidRPr="00C07937" w:rsidRDefault="00A21A48" w:rsidP="008416E0">
      <w:pPr>
        <w:rPr>
          <w:i/>
          <w:iCs/>
        </w:rPr>
      </w:pPr>
    </w:p>
    <w:p w14:paraId="2AC9A3BB" w14:textId="149B0F95" w:rsidR="00C07937" w:rsidRDefault="00C07937" w:rsidP="008416E0">
      <w:pPr>
        <w:rPr>
          <w:b/>
          <w:bCs/>
          <w:i/>
          <w:iCs/>
          <w:u w:val="single"/>
        </w:rPr>
      </w:pPr>
    </w:p>
    <w:p w14:paraId="7CDDE4F8" w14:textId="77777777" w:rsidR="0010307D" w:rsidRDefault="0010307D"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279340C7" w:rsidR="00C477C7" w:rsidRDefault="00C477C7" w:rsidP="00C477C7">
      <w:pPr>
        <w:rPr>
          <w:b/>
          <w:bCs/>
          <w:i/>
          <w:iCs/>
          <w:u w:val="single"/>
        </w:rPr>
      </w:pPr>
      <w:r w:rsidRPr="001308B5">
        <w:rPr>
          <w:b/>
          <w:bCs/>
          <w:i/>
          <w:iCs/>
          <w:u w:val="single"/>
        </w:rPr>
        <w:t xml:space="preserve">Votre réponse : </w:t>
      </w:r>
    </w:p>
    <w:p w14:paraId="06311F58" w14:textId="461183AF" w:rsidR="00A21A48" w:rsidRPr="00A21A48" w:rsidRDefault="00A21A48" w:rsidP="00A21A48">
      <w:r w:rsidRPr="00A21A48">
        <w:t xml:space="preserve">L’approvisionneur </w:t>
      </w:r>
    </w:p>
    <w:p w14:paraId="258C3402" w14:textId="79A0C300" w:rsidR="00A21A48" w:rsidRPr="00A21A48" w:rsidRDefault="00A21A48" w:rsidP="00A21A48">
      <w:r w:rsidRPr="00A21A48">
        <w:t xml:space="preserve">Le chef du service des achats </w:t>
      </w:r>
    </w:p>
    <w:p w14:paraId="5728D8F3" w14:textId="7224A6DC" w:rsidR="00A21A48" w:rsidRPr="00A21A48" w:rsidRDefault="00A21A48" w:rsidP="00A21A48">
      <w:r w:rsidRPr="00A21A48">
        <w:t>Le réceptionnaire</w:t>
      </w:r>
    </w:p>
    <w:p w14:paraId="0C3F2990" w14:textId="77777777" w:rsidR="00A21A48" w:rsidRPr="00A21A48" w:rsidRDefault="00A21A48" w:rsidP="00C477C7"/>
    <w:p w14:paraId="30F2DB26" w14:textId="77777777" w:rsidR="0010307D" w:rsidRPr="00A21A48" w:rsidRDefault="0010307D"/>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03224035" w:rsidR="00AB6926" w:rsidRDefault="00AB6926" w:rsidP="00AB6926">
      <w:pPr>
        <w:rPr>
          <w:b/>
          <w:bCs/>
          <w:i/>
          <w:iCs/>
          <w:u w:val="single"/>
        </w:rPr>
      </w:pPr>
      <w:r w:rsidRPr="00AB6926">
        <w:rPr>
          <w:b/>
          <w:bCs/>
          <w:i/>
          <w:iCs/>
          <w:u w:val="single"/>
        </w:rPr>
        <w:t xml:space="preserve">Votre réponse : </w:t>
      </w:r>
    </w:p>
    <w:p w14:paraId="5405F583" w14:textId="03A88EA5" w:rsidR="00A21A48" w:rsidRDefault="00A21A48" w:rsidP="00AB6926">
      <w:pPr>
        <w:rPr>
          <w:b/>
          <w:bCs/>
          <w:i/>
          <w:iCs/>
          <w:u w:val="single"/>
        </w:rPr>
      </w:pPr>
    </w:p>
    <w:p w14:paraId="559EAA6B" w14:textId="26EA5FB6" w:rsidR="00A21A48" w:rsidRDefault="00A21A48" w:rsidP="00AB6926">
      <w:pPr>
        <w:rPr>
          <w:i/>
          <w:iCs/>
        </w:rPr>
      </w:pPr>
      <w:r w:rsidRPr="00A21A48">
        <w:rPr>
          <w:i/>
          <w:iCs/>
        </w:rPr>
        <w:t>Le point fort gamme étendue des produits, accueil convivial et cons</w:t>
      </w:r>
      <w:r>
        <w:rPr>
          <w:i/>
          <w:iCs/>
        </w:rPr>
        <w:t xml:space="preserve">eil </w:t>
      </w:r>
      <w:r w:rsidRPr="00A21A48">
        <w:rPr>
          <w:i/>
          <w:iCs/>
        </w:rPr>
        <w:t xml:space="preserve">des vendeurs </w:t>
      </w:r>
    </w:p>
    <w:p w14:paraId="08636239" w14:textId="086682D1" w:rsidR="00A21A48" w:rsidRDefault="00A21A48" w:rsidP="00AB6926">
      <w:pPr>
        <w:rPr>
          <w:i/>
          <w:iCs/>
        </w:rPr>
      </w:pPr>
      <w:r>
        <w:rPr>
          <w:i/>
          <w:iCs/>
        </w:rPr>
        <w:t xml:space="preserve">Perte des clients et du CA </w:t>
      </w:r>
    </w:p>
    <w:p w14:paraId="29D7B1FA" w14:textId="4684ED24" w:rsidR="00A21A48" w:rsidRDefault="00A21A48" w:rsidP="00AB6926">
      <w:pPr>
        <w:rPr>
          <w:i/>
          <w:iCs/>
        </w:rPr>
      </w:pPr>
      <w:r>
        <w:rPr>
          <w:i/>
          <w:iCs/>
        </w:rPr>
        <w:t xml:space="preserve">Rupture de </w:t>
      </w:r>
      <w:proofErr w:type="gramStart"/>
      <w:r>
        <w:rPr>
          <w:i/>
          <w:iCs/>
        </w:rPr>
        <w:t>stock ,</w:t>
      </w:r>
      <w:proofErr w:type="gramEnd"/>
      <w:r>
        <w:rPr>
          <w:i/>
          <w:iCs/>
        </w:rPr>
        <w:t xml:space="preserve"> </w:t>
      </w:r>
    </w:p>
    <w:p w14:paraId="748A6B65" w14:textId="1CC2FF31" w:rsidR="00A21A48" w:rsidRPr="00A21A48" w:rsidRDefault="00A21A48" w:rsidP="00AB6926">
      <w:pPr>
        <w:rPr>
          <w:i/>
          <w:iCs/>
        </w:rPr>
      </w:pPr>
      <w:r>
        <w:rPr>
          <w:i/>
          <w:iCs/>
        </w:rPr>
        <w:t xml:space="preserve">Gestions des approvisionnements à flux tendus </w:t>
      </w:r>
    </w:p>
    <w:p w14:paraId="1B1CEF12" w14:textId="77777777" w:rsidR="00132DF7" w:rsidRDefault="00132DF7"/>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FC4BEAF" w:rsidR="00AB6926" w:rsidRDefault="00AB6926" w:rsidP="00AB6926">
      <w:pPr>
        <w:rPr>
          <w:b/>
          <w:bCs/>
          <w:i/>
          <w:iCs/>
          <w:u w:val="single"/>
        </w:rPr>
      </w:pPr>
      <w:r w:rsidRPr="001308B5">
        <w:rPr>
          <w:b/>
          <w:bCs/>
          <w:i/>
          <w:iCs/>
          <w:u w:val="single"/>
        </w:rPr>
        <w:t xml:space="preserve">Votre réponse : </w:t>
      </w:r>
    </w:p>
    <w:p w14:paraId="39D42F25" w14:textId="1C2163C1" w:rsidR="00A21A48" w:rsidRDefault="00A21A48" w:rsidP="00AB6926">
      <w:pPr>
        <w:rPr>
          <w:b/>
          <w:bCs/>
          <w:i/>
          <w:iCs/>
          <w:u w:val="single"/>
        </w:rPr>
      </w:pPr>
    </w:p>
    <w:p w14:paraId="47FC9743" w14:textId="397B62F9" w:rsidR="00A21A48" w:rsidRPr="00AC7305" w:rsidRDefault="00AC7305" w:rsidP="00AB6926">
      <w:r w:rsidRPr="00AC7305">
        <w:rPr>
          <w:b/>
          <w:bCs/>
        </w:rPr>
        <w:t>Problème</w:t>
      </w:r>
      <w:r w:rsidR="00A21A48" w:rsidRPr="00AC7305">
        <w:rPr>
          <w:b/>
          <w:bCs/>
        </w:rPr>
        <w:t xml:space="preserve"> à résoudre</w:t>
      </w:r>
      <w:r w:rsidR="00A21A48" w:rsidRPr="00AC7305">
        <w:t xml:space="preserve"> : </w:t>
      </w:r>
      <w:r w:rsidRPr="00AC7305">
        <w:t>disposer</w:t>
      </w:r>
      <w:r w:rsidR="00A21A48" w:rsidRPr="00AC7305">
        <w:t xml:space="preserve"> d’u stock </w:t>
      </w:r>
      <w:r w:rsidRPr="00AC7305">
        <w:t>suffisant</w:t>
      </w:r>
    </w:p>
    <w:p w14:paraId="0581EB3E" w14:textId="7ABC8895" w:rsidR="00A21A48" w:rsidRPr="00AC7305" w:rsidRDefault="00AC7305" w:rsidP="00A21A48">
      <w:r w:rsidRPr="00AC7305">
        <w:rPr>
          <w:b/>
          <w:bCs/>
        </w:rPr>
        <w:t>Méthodes</w:t>
      </w:r>
      <w:r w:rsidR="00A21A48" w:rsidRPr="00AC7305">
        <w:rPr>
          <w:b/>
          <w:bCs/>
        </w:rPr>
        <w:t xml:space="preserve"> </w:t>
      </w:r>
    </w:p>
    <w:p w14:paraId="642A4DB6" w14:textId="3B57A896" w:rsidR="00A21A48" w:rsidRPr="00AC7305" w:rsidRDefault="00AC7305" w:rsidP="00A21A48">
      <w:r w:rsidRPr="00AC7305">
        <w:t>Revoir le</w:t>
      </w:r>
      <w:r w:rsidR="00A21A48" w:rsidRPr="00A21A48">
        <w:t xml:space="preserve">s process ou méthodes de travail </w:t>
      </w:r>
      <w:r w:rsidRPr="00AC7305">
        <w:t>pour une bonne gestion des stocks</w:t>
      </w:r>
    </w:p>
    <w:p w14:paraId="2CEB4F4C" w14:textId="1216C5EA" w:rsidR="00AC7305" w:rsidRPr="00AC7305" w:rsidRDefault="00AC7305" w:rsidP="00A21A48">
      <w:r w:rsidRPr="00AC7305">
        <w:t xml:space="preserve">Les outils de gestions ne sont pas utilisés </w:t>
      </w:r>
    </w:p>
    <w:p w14:paraId="0A4B3FAD" w14:textId="0EB34C32" w:rsidR="00AC7305" w:rsidRPr="00A21A48" w:rsidRDefault="00AC7305" w:rsidP="00A21A48">
      <w:r w:rsidRPr="00AC7305">
        <w:t xml:space="preserve">Revoir les délais des fournisseurs </w:t>
      </w:r>
    </w:p>
    <w:p w14:paraId="65E2B06A" w14:textId="03D68414" w:rsidR="00A21A48" w:rsidRPr="00A21A48" w:rsidRDefault="00A21A48" w:rsidP="00AC7305">
      <w:r w:rsidRPr="00AC7305">
        <w:rPr>
          <w:b/>
          <w:bCs/>
        </w:rPr>
        <w:t xml:space="preserve">MILIEU </w:t>
      </w:r>
    </w:p>
    <w:p w14:paraId="4496AEBF" w14:textId="690487DF" w:rsidR="00A21A48" w:rsidRPr="00AC7305" w:rsidRDefault="00A21A48" w:rsidP="00A21A48">
      <w:r w:rsidRPr="00A21A48">
        <w:t xml:space="preserve">Absence de cohésion </w:t>
      </w:r>
      <w:r w:rsidR="00AC7305" w:rsidRPr="00A21A48">
        <w:t>d’équipe.</w:t>
      </w:r>
    </w:p>
    <w:p w14:paraId="20E312F3" w14:textId="314B931E" w:rsidR="00AC7305" w:rsidRPr="00A21A48" w:rsidRDefault="00AC7305" w:rsidP="00A21A48">
      <w:r w:rsidRPr="00AC7305">
        <w:t xml:space="preserve">Les outils de gestions sont </w:t>
      </w:r>
    </w:p>
    <w:p w14:paraId="25FDD5D0" w14:textId="5BD3C28A" w:rsidR="00A21A48" w:rsidRPr="00AC7305" w:rsidRDefault="00AC7305" w:rsidP="00A21A48">
      <w:r w:rsidRPr="00AC7305">
        <w:rPr>
          <w:b/>
          <w:bCs/>
        </w:rPr>
        <w:t xml:space="preserve">Main d’œuvre </w:t>
      </w:r>
      <w:r w:rsidR="00A21A48" w:rsidRPr="00AC7305">
        <w:rPr>
          <w:b/>
          <w:bCs/>
        </w:rPr>
        <w:t>La</w:t>
      </w:r>
      <w:r w:rsidR="00A21A48" w:rsidRPr="00AC7305">
        <w:t xml:space="preserve">  </w:t>
      </w:r>
    </w:p>
    <w:p w14:paraId="12277F52" w14:textId="104C231E" w:rsidR="00AC7305" w:rsidRPr="00AC7305" w:rsidRDefault="00AC7305" w:rsidP="00AC7305"/>
    <w:p w14:paraId="53EBDD76" w14:textId="3CF5E93B" w:rsidR="00AC7305" w:rsidRPr="00AC7305" w:rsidRDefault="00AC7305" w:rsidP="00AC7305">
      <w:r w:rsidRPr="00AC7305">
        <w:rPr>
          <w:b/>
          <w:bCs/>
        </w:rPr>
        <w:t xml:space="preserve">Matériel </w:t>
      </w:r>
      <w:r w:rsidRPr="00AC7305">
        <w:t xml:space="preserve">les outils de gestions interne ne sont pas adaptes </w:t>
      </w:r>
    </w:p>
    <w:p w14:paraId="5A397F11" w14:textId="30E8C067" w:rsidR="00AC7305" w:rsidRPr="00AC7305" w:rsidRDefault="00AC7305" w:rsidP="00AC7305">
      <w:pPr>
        <w:rPr>
          <w:b/>
          <w:bCs/>
        </w:rPr>
      </w:pPr>
      <w:r w:rsidRPr="00AC7305">
        <w:rPr>
          <w:b/>
          <w:bCs/>
        </w:rPr>
        <w:t xml:space="preserve">Matière </w:t>
      </w:r>
    </w:p>
    <w:p w14:paraId="10B80AD5" w14:textId="7F844978" w:rsidR="00AC7305" w:rsidRDefault="00AC7305" w:rsidP="00AC7305">
      <w:pPr>
        <w:rPr>
          <w:i/>
          <w:iCs/>
        </w:rPr>
      </w:pPr>
    </w:p>
    <w:p w14:paraId="1103745C" w14:textId="77777777" w:rsidR="00AC7305" w:rsidRDefault="00AC7305" w:rsidP="00AC7305">
      <w:pPr>
        <w:rPr>
          <w:i/>
          <w:iCs/>
        </w:rPr>
      </w:pPr>
    </w:p>
    <w:p w14:paraId="0FBACE68" w14:textId="0C8D2BB3" w:rsidR="00AC7305" w:rsidRDefault="00AC7305" w:rsidP="00AC7305">
      <w:pPr>
        <w:rPr>
          <w:i/>
          <w:iCs/>
        </w:rPr>
      </w:pPr>
    </w:p>
    <w:p w14:paraId="1ED2232F" w14:textId="543C698C" w:rsidR="00AC7305" w:rsidRDefault="00AC7305" w:rsidP="00AC7305">
      <w:pPr>
        <w:rPr>
          <w:i/>
          <w:iCs/>
        </w:rPr>
      </w:pPr>
      <w:r>
        <w:rPr>
          <w:i/>
          <w:iCs/>
        </w:rPr>
        <w:t>Mm</w:t>
      </w:r>
    </w:p>
    <w:p w14:paraId="2E6EFF4D" w14:textId="77777777" w:rsidR="00AC7305" w:rsidRDefault="00AC7305" w:rsidP="00A21A48">
      <w:pPr>
        <w:rPr>
          <w:i/>
          <w:iCs/>
        </w:rPr>
      </w:pPr>
    </w:p>
    <w:p w14:paraId="23382AB6" w14:textId="77777777" w:rsidR="00A21A48" w:rsidRPr="00A21A48" w:rsidRDefault="00A21A48" w:rsidP="00A21A48">
      <w:pPr>
        <w:rPr>
          <w:i/>
          <w:iCs/>
        </w:rPr>
      </w:pPr>
    </w:p>
    <w:p w14:paraId="7E4E0252" w14:textId="77777777" w:rsidR="00B34A7D" w:rsidRDefault="00B34A7D"/>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23F2B66D" w:rsidR="00F656EC" w:rsidRDefault="00F656EC"/>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0567610"/>
    <w:multiLevelType w:val="hybridMultilevel"/>
    <w:tmpl w:val="2CB2F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333DB2"/>
    <w:multiLevelType w:val="hybridMultilevel"/>
    <w:tmpl w:val="1DAEF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5"/>
  </w:num>
  <w:num w:numId="2" w16cid:durableId="1991135259">
    <w:abstractNumId w:val="0"/>
  </w:num>
  <w:num w:numId="3" w16cid:durableId="1718436041">
    <w:abstractNumId w:val="9"/>
  </w:num>
  <w:num w:numId="4" w16cid:durableId="1218784048">
    <w:abstractNumId w:val="8"/>
  </w:num>
  <w:num w:numId="5" w16cid:durableId="483425338">
    <w:abstractNumId w:val="3"/>
  </w:num>
  <w:num w:numId="6" w16cid:durableId="735053103">
    <w:abstractNumId w:val="1"/>
  </w:num>
  <w:num w:numId="7" w16cid:durableId="1394936817">
    <w:abstractNumId w:val="6"/>
  </w:num>
  <w:num w:numId="8" w16cid:durableId="1800415067">
    <w:abstractNumId w:val="4"/>
  </w:num>
  <w:num w:numId="9" w16cid:durableId="1853570308">
    <w:abstractNumId w:val="2"/>
  </w:num>
  <w:num w:numId="10" w16cid:durableId="819082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10D3"/>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2A27"/>
    <w:rsid w:val="003C35A8"/>
    <w:rsid w:val="003C4D20"/>
    <w:rsid w:val="003D1486"/>
    <w:rsid w:val="003D707E"/>
    <w:rsid w:val="003D7B6F"/>
    <w:rsid w:val="003E1578"/>
    <w:rsid w:val="003E18DC"/>
    <w:rsid w:val="003E1B2B"/>
    <w:rsid w:val="003E4A5C"/>
    <w:rsid w:val="003F0539"/>
    <w:rsid w:val="003F61E6"/>
    <w:rsid w:val="00401E31"/>
    <w:rsid w:val="00402D84"/>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3B99"/>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56D45"/>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0E36"/>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D6BB8"/>
    <w:rsid w:val="009E0296"/>
    <w:rsid w:val="009E0A08"/>
    <w:rsid w:val="009E24FB"/>
    <w:rsid w:val="009F3927"/>
    <w:rsid w:val="009F7D34"/>
    <w:rsid w:val="00A03CD3"/>
    <w:rsid w:val="00A06A5A"/>
    <w:rsid w:val="00A0722A"/>
    <w:rsid w:val="00A10EAF"/>
    <w:rsid w:val="00A21A48"/>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C7305"/>
    <w:rsid w:val="00AD4A1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2EC1"/>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07937"/>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998</Words>
  <Characters>5490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Caroline CATOEN</cp:lastModifiedBy>
  <cp:revision>2</cp:revision>
  <dcterms:created xsi:type="dcterms:W3CDTF">2023-02-13T19:57:00Z</dcterms:created>
  <dcterms:modified xsi:type="dcterms:W3CDTF">2023-02-13T19:57:00Z</dcterms:modified>
</cp:coreProperties>
</file>