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Etude de cas – Audit de performance</w:t>
      </w:r>
    </w:p>
    <w:p w:rsidR="00000000" w:rsidDel="00000000" w:rsidP="00000000" w:rsidRDefault="00000000" w:rsidRPr="00000000" w14:paraId="00000002">
      <w:pPr>
        <w:spacing w:after="0" w:lineRule="auto"/>
        <w:jc w:val="center"/>
        <w:rPr>
          <w:b w:val="1"/>
          <w:color w:val="4472c4"/>
          <w:sz w:val="28"/>
          <w:szCs w:val="28"/>
          <w:u w:val="single"/>
        </w:rPr>
      </w:pPr>
      <w:r w:rsidDel="00000000" w:rsidR="00000000" w:rsidRPr="00000000">
        <w:rPr>
          <w:b w:val="1"/>
          <w:color w:val="4472c4"/>
          <w:sz w:val="28"/>
          <w:szCs w:val="28"/>
          <w:u w:val="single"/>
          <w:rtl w:val="0"/>
        </w:rPr>
        <w:t xml:space="preserve">Audit d’une entreprise de distribution - processus logistique </w:t>
      </w:r>
    </w:p>
    <w:p w:rsidR="00000000" w:rsidDel="00000000" w:rsidP="00000000" w:rsidRDefault="00000000" w:rsidRPr="00000000" w14:paraId="00000003">
      <w:pPr>
        <w:spacing w:after="0" w:lineRule="auto"/>
        <w:jc w:val="center"/>
        <w:rPr>
          <w:b w:val="1"/>
          <w:sz w:val="28"/>
          <w:szCs w:val="28"/>
          <w:u w:val="single"/>
        </w:rPr>
      </w:pP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PRESENTATION DE L’ENTREPRISE</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DISTRELECT est une entreprise de distribution de matériel électrique à destination de professionnels. Elle achète du matériel électrique à des fournisseurs, le stocke et le revend à ses clients. </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Les clients peuvent venir dans une agence acheter le matériel ou le commander et se faire livrer.</w:t>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i w:val="1"/>
          <w:rtl w:val="0"/>
        </w:rPr>
        <w:t xml:space="preserve">La présentation complète de DISTRELEC figure dans le déroulé du cours)</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gjdgxs" w:id="0"/>
      <w:bookmarkEnd w:id="0"/>
      <w:r w:rsidDel="00000000" w:rsidR="00000000" w:rsidRPr="00000000">
        <w:rPr>
          <w:b w:val="1"/>
          <w:u w:val="single"/>
          <w:rtl w:val="0"/>
        </w:rPr>
        <w:t xml:space="preserve">PRESENTATION DU CONTEXTE</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donc très vigilants sur la disponibilité de ce type de produit que nous appelons produits A (produits à forte rotation).</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Parmi ces produits on trouve les spots encastrables à LED qui sont demandés de plus en plus souvent par les clients de nos artisans.</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particularité de ces produits c’est que les marques et les modèles sont très nombreux et variés et nécessitent une grande place dans le stock ce qui n’est pas très facile dans cette agence.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La gestion des approvisionnements de ces produits se fait donc presque « à flux tendu » et le niveau de stock est quotidiennement surveillé (en particulier par une bonne gestion de la traçabilité des entrées et sorties dans le système d’information, des alertes des préparateurs de commande quand ils voient un stock presque vide et la mise en place d’inventaires ciblés chaque semaine).</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 directeur de l’agence a donc décidé de mettre en place un audit de l’organisation.</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Le compte rendu d’audit est attendu pour le 31 mars</w:t>
      </w:r>
    </w:p>
    <w:p w:rsidR="00000000" w:rsidDel="00000000" w:rsidP="00000000" w:rsidRDefault="00000000" w:rsidRPr="00000000" w14:paraId="00000013">
      <w:pPr>
        <w:rPr>
          <w:b w:val="1"/>
          <w:u w:val="single"/>
        </w:rPr>
      </w:pPr>
      <w:r w:rsidDel="00000000" w:rsidR="00000000" w:rsidRPr="00000000">
        <w:rPr>
          <w:b w:val="1"/>
          <w:u w:val="single"/>
          <w:rtl w:val="0"/>
        </w:rPr>
        <w:t xml:space="preserve">Barème : </w:t>
      </w:r>
    </w:p>
    <w:tbl>
      <w:tblPr>
        <w:tblStyle w:val="Table1"/>
        <w:tblW w:w="9209.0" w:type="dxa"/>
        <w:jc w:val="left"/>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1151"/>
        <w:gridCol w:w="1151"/>
        <w:gridCol w:w="1151"/>
        <w:gridCol w:w="1151"/>
        <w:gridCol w:w="1151"/>
        <w:gridCol w:w="1151"/>
        <w:gridCol w:w="1151"/>
        <w:gridCol w:w="1152"/>
        <w:tblGridChange w:id="0">
          <w:tblGrid>
            <w:gridCol w:w="1151"/>
            <w:gridCol w:w="1151"/>
            <w:gridCol w:w="1151"/>
            <w:gridCol w:w="1151"/>
            <w:gridCol w:w="1151"/>
            <w:gridCol w:w="1151"/>
            <w:gridCol w:w="1151"/>
            <w:gridCol w:w="1152"/>
          </w:tblGrid>
        </w:tblGridChange>
      </w:tblGrid>
      <w:tr>
        <w:trPr>
          <w:cantSplit w:val="0"/>
          <w:tblHeader w:val="0"/>
        </w:trPr>
        <w:tc>
          <w:tcPr>
            <w:vAlign w:val="center"/>
          </w:tcPr>
          <w:p w:rsidR="00000000" w:rsidDel="00000000" w:rsidP="00000000" w:rsidRDefault="00000000" w:rsidRPr="00000000" w14:paraId="00000014">
            <w:pPr>
              <w:spacing w:line="259" w:lineRule="auto"/>
              <w:jc w:val="center"/>
              <w:rPr>
                <w:b w:val="1"/>
              </w:rPr>
            </w:pPr>
            <w:r w:rsidDel="00000000" w:rsidR="00000000" w:rsidRPr="00000000">
              <w:rPr>
                <w:b w:val="1"/>
                <w:rtl w:val="0"/>
              </w:rPr>
              <w:t xml:space="preserve">Q1</w:t>
            </w:r>
          </w:p>
        </w:tc>
        <w:tc>
          <w:tcPr>
            <w:vAlign w:val="center"/>
          </w:tcPr>
          <w:p w:rsidR="00000000" w:rsidDel="00000000" w:rsidP="00000000" w:rsidRDefault="00000000" w:rsidRPr="00000000" w14:paraId="00000015">
            <w:pPr>
              <w:spacing w:line="259" w:lineRule="auto"/>
              <w:jc w:val="center"/>
              <w:rPr>
                <w:b w:val="1"/>
              </w:rPr>
            </w:pPr>
            <w:r w:rsidDel="00000000" w:rsidR="00000000" w:rsidRPr="00000000">
              <w:rPr>
                <w:b w:val="1"/>
                <w:rtl w:val="0"/>
              </w:rPr>
              <w:t xml:space="preserve">Q2</w:t>
            </w:r>
          </w:p>
        </w:tc>
        <w:tc>
          <w:tcPr>
            <w:vAlign w:val="center"/>
          </w:tcPr>
          <w:p w:rsidR="00000000" w:rsidDel="00000000" w:rsidP="00000000" w:rsidRDefault="00000000" w:rsidRPr="00000000" w14:paraId="00000016">
            <w:pPr>
              <w:spacing w:line="259" w:lineRule="auto"/>
              <w:jc w:val="center"/>
              <w:rPr>
                <w:b w:val="1"/>
              </w:rPr>
            </w:pPr>
            <w:r w:rsidDel="00000000" w:rsidR="00000000" w:rsidRPr="00000000">
              <w:rPr>
                <w:b w:val="1"/>
                <w:rtl w:val="0"/>
              </w:rPr>
              <w:t xml:space="preserve">Q3</w:t>
            </w:r>
          </w:p>
        </w:tc>
        <w:tc>
          <w:tcPr>
            <w:vAlign w:val="center"/>
          </w:tcPr>
          <w:p w:rsidR="00000000" w:rsidDel="00000000" w:rsidP="00000000" w:rsidRDefault="00000000" w:rsidRPr="00000000" w14:paraId="00000017">
            <w:pPr>
              <w:spacing w:line="259" w:lineRule="auto"/>
              <w:jc w:val="center"/>
              <w:rPr>
                <w:b w:val="1"/>
              </w:rPr>
            </w:pPr>
            <w:r w:rsidDel="00000000" w:rsidR="00000000" w:rsidRPr="00000000">
              <w:rPr>
                <w:b w:val="1"/>
                <w:rtl w:val="0"/>
              </w:rPr>
              <w:t xml:space="preserve">Q4</w:t>
            </w:r>
          </w:p>
        </w:tc>
        <w:tc>
          <w:tcPr>
            <w:vAlign w:val="center"/>
          </w:tcPr>
          <w:p w:rsidR="00000000" w:rsidDel="00000000" w:rsidP="00000000" w:rsidRDefault="00000000" w:rsidRPr="00000000" w14:paraId="00000018">
            <w:pPr>
              <w:spacing w:line="259" w:lineRule="auto"/>
              <w:jc w:val="center"/>
              <w:rPr>
                <w:b w:val="1"/>
              </w:rPr>
            </w:pPr>
            <w:r w:rsidDel="00000000" w:rsidR="00000000" w:rsidRPr="00000000">
              <w:rPr>
                <w:b w:val="1"/>
                <w:rtl w:val="0"/>
              </w:rPr>
              <w:t xml:space="preserve">Q5</w:t>
            </w:r>
          </w:p>
        </w:tc>
        <w:tc>
          <w:tcPr>
            <w:vAlign w:val="center"/>
          </w:tcPr>
          <w:p w:rsidR="00000000" w:rsidDel="00000000" w:rsidP="00000000" w:rsidRDefault="00000000" w:rsidRPr="00000000" w14:paraId="00000019">
            <w:pPr>
              <w:spacing w:line="259" w:lineRule="auto"/>
              <w:jc w:val="center"/>
              <w:rPr>
                <w:b w:val="1"/>
              </w:rPr>
            </w:pPr>
            <w:r w:rsidDel="00000000" w:rsidR="00000000" w:rsidRPr="00000000">
              <w:rPr>
                <w:b w:val="1"/>
                <w:rtl w:val="0"/>
              </w:rPr>
              <w:t xml:space="preserve">Q6</w:t>
            </w:r>
          </w:p>
        </w:tc>
        <w:tc>
          <w:tcPr>
            <w:vAlign w:val="center"/>
          </w:tcPr>
          <w:p w:rsidR="00000000" w:rsidDel="00000000" w:rsidP="00000000" w:rsidRDefault="00000000" w:rsidRPr="00000000" w14:paraId="0000001A">
            <w:pPr>
              <w:spacing w:line="259" w:lineRule="auto"/>
              <w:jc w:val="center"/>
              <w:rPr>
                <w:b w:val="1"/>
              </w:rPr>
            </w:pPr>
            <w:r w:rsidDel="00000000" w:rsidR="00000000" w:rsidRPr="00000000">
              <w:rPr>
                <w:b w:val="1"/>
                <w:rtl w:val="0"/>
              </w:rPr>
              <w:t xml:space="preserve">Q7</w:t>
            </w:r>
          </w:p>
        </w:tc>
        <w:tc>
          <w:tcPr>
            <w:vAlign w:val="center"/>
          </w:tcPr>
          <w:p w:rsidR="00000000" w:rsidDel="00000000" w:rsidP="00000000" w:rsidRDefault="00000000" w:rsidRPr="00000000" w14:paraId="0000001B">
            <w:pPr>
              <w:spacing w:line="259" w:lineRule="auto"/>
              <w:jc w:val="center"/>
              <w:rPr>
                <w:b w:val="1"/>
              </w:rPr>
            </w:pPr>
            <w:r w:rsidDel="00000000" w:rsidR="00000000" w:rsidRPr="00000000">
              <w:rPr>
                <w:b w:val="1"/>
                <w:rtl w:val="0"/>
              </w:rPr>
              <w:t xml:space="preserve">Q8</w:t>
            </w:r>
          </w:p>
        </w:tc>
      </w:tr>
      <w:tr>
        <w:trPr>
          <w:cantSplit w:val="0"/>
          <w:tblHeader w:val="0"/>
        </w:trPr>
        <w:tc>
          <w:tcPr>
            <w:vAlign w:val="center"/>
          </w:tcPr>
          <w:p w:rsidR="00000000" w:rsidDel="00000000" w:rsidP="00000000" w:rsidRDefault="00000000" w:rsidRPr="00000000" w14:paraId="0000001C">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D">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1E">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1F">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0">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1">
            <w:pPr>
              <w:spacing w:line="259"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22">
            <w:pPr>
              <w:spacing w:line="259"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23">
            <w:pPr>
              <w:spacing w:line="259" w:lineRule="auto"/>
              <w:jc w:val="center"/>
              <w:rPr>
                <w:b w:val="1"/>
              </w:rPr>
            </w:pPr>
            <w:r w:rsidDel="00000000" w:rsidR="00000000" w:rsidRPr="00000000">
              <w:rPr>
                <w:b w:val="1"/>
                <w:rtl w:val="0"/>
              </w:rPr>
              <w:t xml:space="preserve">3</w:t>
            </w:r>
          </w:p>
        </w:tc>
      </w:tr>
    </w:tbl>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Q1 : ANALYSE DES RISQUES</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risques engendrés par cette situation</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Evaluer ces risques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deebf6" w:val="clear"/>
        <w:rPr>
          <w:i w:val="1"/>
        </w:rPr>
      </w:pPr>
      <w:r w:rsidDel="00000000" w:rsidR="00000000" w:rsidRPr="00000000">
        <w:rPr>
          <w:rtl w:val="0"/>
        </w:rPr>
        <w:t xml:space="preserve">Identifier ceux qui sont critiques – et pourquoi </w:t>
      </w:r>
      <w:r w:rsidDel="00000000" w:rsidR="00000000" w:rsidRPr="00000000">
        <w:rPr>
          <w:i w:val="1"/>
          <w:rtl w:val="0"/>
        </w:rPr>
        <w:t xml:space="preserve">(vous pouvez vous servir de la matrice de criticité des risques)</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2A">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deebf6" w:val="clear"/>
        <w:rPr>
          <w:b w:val="1"/>
          <w:u w:val="single"/>
        </w:rPr>
      </w:pPr>
      <w:bookmarkStart w:colFirst="0" w:colLast="0" w:name="_heading=h.30j0zll" w:id="1"/>
      <w:bookmarkEnd w:id="1"/>
      <w:r w:rsidDel="00000000" w:rsidR="00000000" w:rsidRPr="00000000">
        <w:rPr>
          <w:b w:val="1"/>
          <w:u w:val="single"/>
          <w:rtl w:val="0"/>
        </w:rPr>
        <w:t xml:space="preserve">Q2 : DECLENCHEMENT DE L’AUDIT</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mandate l’audit</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Qui va réaliser l’audit (vous pouvez choisir interne ou externe)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Sur quels critères l’auditeur est choisi ?</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3B">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Q3 : PLANIFICATION DE L’AUDIT</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Quelles sont les étapes de l’audit</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Etablir le planning de l’audit (en tenant compte des dates prévues)</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Identifier les acteurs de l’audit et leurs responsabilités (utiliser la matrice RACI)</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43">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deebf6" w:val="clear"/>
        <w:rPr>
          <w:b w:val="1"/>
          <w:smallCaps w:val="1"/>
          <w:u w:val="single"/>
        </w:rPr>
      </w:pPr>
      <w:r w:rsidDel="00000000" w:rsidR="00000000" w:rsidRPr="00000000">
        <w:rPr>
          <w:b w:val="1"/>
          <w:smallCaps w:val="1"/>
          <w:u w:val="single"/>
          <w:rtl w:val="0"/>
        </w:rPr>
        <w:t xml:space="preserve">Q4 : ANALYSE DOCUMENTAIRE</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Quels sont les documents qui pourraient vous aider à préparer cet audit ? (Soyez précis, vous pouvez identifier des documents que DISTRELEC pourrait avoir)</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49">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Q5 : REALISATION DE L’AUDIT</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Identifier 3 personnes (fonctions) à auditer</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Elaborer le guide d’entretien pour l’un des audités (préciser lequel)</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50">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Q6 : CONCLUSIONS DE L’AUDIT</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Rédiger votre conclusion (à imaginer) présentant : </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1 point fort</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points sensibles</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2 écarts</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59">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Q7 : RECHERCHE DES CAUSES</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Pour chaque écart relevé identifier faite une analyse des causes (en utilisant le diagramme 5M)</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5F">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deebf6" w:val="clear"/>
        <w:rPr>
          <w:b w:val="1"/>
          <w:u w:val="single"/>
        </w:rPr>
      </w:pPr>
      <w:r w:rsidDel="00000000" w:rsidR="00000000" w:rsidRPr="00000000">
        <w:rPr>
          <w:b w:val="1"/>
          <w:u w:val="single"/>
          <w:rtl w:val="0"/>
        </w:rPr>
        <w:t xml:space="preserve">Q8 : SOLUTIONS</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Trouver 2 solutions pour chaque écart : </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Préciser à quelles causes elles correspondent</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t xml:space="preserve">☞ Décrire les solutions</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deebf6" w:val="clear"/>
        <w:rPr/>
      </w:pPr>
      <w:r w:rsidDel="00000000" w:rsidR="00000000" w:rsidRPr="00000000">
        <w:rPr>
          <w:rtl w:val="0"/>
        </w:rPr>
      </w:r>
    </w:p>
    <w:p w:rsidR="00000000" w:rsidDel="00000000" w:rsidP="00000000" w:rsidRDefault="00000000" w:rsidRPr="00000000" w14:paraId="00000067">
      <w:pPr>
        <w:rPr>
          <w:b w:val="1"/>
          <w:i w:val="1"/>
          <w:u w:val="single"/>
        </w:rPr>
      </w:pPr>
      <w:r w:rsidDel="00000000" w:rsidR="00000000" w:rsidRPr="00000000">
        <w:rPr>
          <w:b w:val="1"/>
          <w:i w:val="1"/>
          <w:u w:val="single"/>
          <w:rtl w:val="0"/>
        </w:rPr>
        <w:t xml:space="preserve">Votre réponse : </w:t>
      </w:r>
    </w:p>
    <w:p w:rsidR="00000000" w:rsidDel="00000000" w:rsidP="00000000" w:rsidRDefault="00000000" w:rsidRPr="00000000" w14:paraId="00000068">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9564C"/>
  </w:style>
  <w:style w:type="paragraph" w:styleId="Titre2">
    <w:name w:val="heading 2"/>
    <w:basedOn w:val="Normal"/>
    <w:next w:val="Normal"/>
    <w:link w:val="Titre2Car"/>
    <w:uiPriority w:val="9"/>
    <w:unhideWhenUsed w:val="1"/>
    <w:qFormat w:val="1"/>
    <w:rsid w:val="00D24CD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220B67"/>
    <w:pPr>
      <w:ind w:left="720"/>
      <w:contextualSpacing w:val="1"/>
    </w:pPr>
  </w:style>
  <w:style w:type="paragraph" w:styleId="Titre">
    <w:name w:val="Title"/>
    <w:basedOn w:val="Normal"/>
    <w:next w:val="Normal"/>
    <w:link w:val="TitreCar"/>
    <w:uiPriority w:val="10"/>
    <w:qFormat w:val="1"/>
    <w:rsid w:val="00D24CD1"/>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D24CD1"/>
    <w:rPr>
      <w:rFonts w:asciiTheme="majorHAnsi" w:cstheme="majorBidi" w:eastAsiaTheme="majorEastAsia" w:hAnsiTheme="majorHAnsi"/>
      <w:spacing w:val="-10"/>
      <w:kern w:val="28"/>
      <w:sz w:val="56"/>
      <w:szCs w:val="56"/>
    </w:rPr>
  </w:style>
  <w:style w:type="character" w:styleId="Titre2Car" w:customStyle="1">
    <w:name w:val="Titre 2 Car"/>
    <w:basedOn w:val="Policepardfaut"/>
    <w:link w:val="Titre2"/>
    <w:uiPriority w:val="9"/>
    <w:rsid w:val="00D24CD1"/>
    <w:rPr>
      <w:rFonts w:asciiTheme="majorHAnsi" w:cstheme="majorBidi" w:eastAsiaTheme="majorEastAsia" w:hAnsiTheme="majorHAnsi"/>
      <w:color w:val="2f5496" w:themeColor="accent1" w:themeShade="0000BF"/>
      <w:sz w:val="26"/>
      <w:szCs w:val="26"/>
    </w:rPr>
  </w:style>
  <w:style w:type="table" w:styleId="Grilledutableau">
    <w:name w:val="Table Grid"/>
    <w:basedOn w:val="TableauNormal"/>
    <w:uiPriority w:val="39"/>
    <w:rsid w:val="008D5E8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color="ffd966" w:space="0" w:sz="4" w:themeColor="accent4" w:themeTint="000099" w:val="single"/>
        <w:left w:color="ffd966" w:space="0" w:sz="4" w:themeColor="accent4" w:themeTint="000099" w:val="single"/>
        <w:bottom w:color="ffd966" w:space="0" w:sz="4" w:themeColor="accent4" w:themeTint="000099" w:val="single"/>
        <w:right w:color="ffd966" w:space="0" w:sz="4" w:themeColor="accent4" w:themeTint="000099" w:val="single"/>
        <w:insideH w:color="ffd966" w:space="0" w:sz="4" w:themeColor="accent4" w:themeTint="000099" w:val="single"/>
        <w:insideV w:color="ffd966" w:space="0" w:sz="4" w:themeColor="accent4" w:themeTint="000099" w:val="single"/>
      </w:tblBorders>
    </w:tblPr>
    <w:tblStylePr w:type="firstRow">
      <w:rPr>
        <w:b w:val="1"/>
        <w:bCs w:val="1"/>
        <w:color w:val="ffffff" w:themeColor="background1"/>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insideH w:space="0" w:sz="0" w:val="nil"/>
          <w:insideV w:space="0" w:sz="0" w:val="nil"/>
        </w:tcBorders>
        <w:shd w:color="auto" w:fill="ffc000" w:themeFill="accent4" w:val="clear"/>
      </w:tcPr>
    </w:tblStylePr>
    <w:tblStylePr w:type="lastRow">
      <w:rPr>
        <w:b w:val="1"/>
        <w:bCs w:val="1"/>
      </w:rPr>
      <w:tblPr/>
      <w:tcPr>
        <w:tcBorders>
          <w:top w:color="ffc000" w:space="0" w:sz="4" w:themeColor="accent4" w:val="double"/>
        </w:tcBorders>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lNid22QOFnVBBVU9Hp96Y3rplw==">CgMxLjAyCGguZ2pkZ3hzMgloLjMwajB6bGw4AHIhMXdoeWZiY2V1MF82NjcydkNLNWpKbDh3ZVNYR3RmeHEx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2023-01-21T10:04:00Z</dcterms:created>
  <dc:creator>Nicolas CATOIS</dc:creator>
</cp:coreProperties>
</file>