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nartfem-apd: Asphalt Pavement Distress Prediction with the nartfem Finite Element Engine</w:t>
      </w:r>
    </w:p>
    <w:p>
      <w:pPr>
        <w:shd w:val="clear" w:fill="FFCD00"/>
      </w:pPr>
      <w:r>
        <w:rPr>
          <w:sz w:val="8"/>
        </w:rPr>
        <w:t xml:space="preserve"> </w:t>
      </w:r>
    </w:p>
    <w:p>
      <w:r>
        <w:t>Input format, data path, response engines, damage accumulation, verification and usage of the nartfem.apd package</w:t>
      </w:r>
    </w:p>
    <w:p>
      <w:r>
        <w:t>M. Emin Kutay</w:t>
      </w:r>
    </w:p>
    <w:p>
      <w:r>
        <w:t>Department of Civil, Environmental, and Geospatial Engineering (CEGE), Michigan Technological University</w:t>
      </w:r>
    </w:p>
    <w:p>
      <w:r>
        <w:t>Code version: nartfem.apd, October 2026 (repository nartfem, package nartfem/apd)</w:t>
      </w:r>
    </w:p>
    <w:p>
      <w:r>
        <w:t>Report date: October 11, 2026 - DRAFT</w:t>
      </w:r>
    </w:p>
    <w:p>
      <w:r>
        <w:br w:type="page"/>
      </w:r>
    </w:p>
    <w:p>
      <w:pPr>
        <w:pStyle w:val="Heading1"/>
      </w:pPr>
      <w:r>
        <w:t>Table of Contents</w:t>
      </w:r>
    </w:p>
    <w:p>
      <w:r>
        <w:fldChar w:fldCharType="begin"/>
      </w:r>
      <w:r>
        <w:instrText xml:space="preserve">TOC \o "1-3" \h \z \u</w:instrText>
      </w:r>
      <w:r>
        <w:fldChar w:fldCharType="separate"/>
      </w:r>
      <w:r>
        <w:t>Right-click and choose Update Field to build the table of contents.</w:t>
      </w:r>
      <w:r>
        <w:fldChar w:fldCharType="end"/>
      </w:r>
    </w:p>
    <w:p>
      <w:pPr>
        <w:pStyle w:val="Heading1"/>
      </w:pPr>
      <w:r>
        <w:t>List of Figures</w:t>
      </w:r>
    </w:p>
    <w:p>
      <w:r>
        <w:fldChar w:fldCharType="begin"/>
      </w:r>
      <w:r>
        <w:instrText xml:space="preserve">TOC \h \z \c "Figure"</w:instrText>
      </w:r>
      <w:r>
        <w:fldChar w:fldCharType="separate"/>
      </w:r>
      <w:r>
        <w:t>Update field to build the list of figures.</w:t>
      </w:r>
      <w:r>
        <w:fldChar w:fldCharType="end"/>
      </w:r>
    </w:p>
    <w:p>
      <w:pPr>
        <w:pStyle w:val="Heading1"/>
      </w:pPr>
      <w:r>
        <w:t>List of Tables</w:t>
      </w:r>
    </w:p>
    <w:p>
      <w:r>
        <w:fldChar w:fldCharType="begin"/>
      </w:r>
      <w:r>
        <w:instrText xml:space="preserve">TOC \h \z \c "Table"</w:instrText>
      </w:r>
      <w:r>
        <w:fldChar w:fldCharType="separate"/>
      </w:r>
      <w:r>
        <w:t>Update field to build the list of tables.</w:t>
      </w:r>
      <w:r>
        <w:fldChar w:fldCharType="end"/>
      </w:r>
    </w:p>
    <w:p>
      <w:r>
        <w:br w:type="page"/>
      </w:r>
    </w:p>
    <w:p>
      <w:pPr>
        <w:pStyle w:val="Heading1"/>
      </w:pPr>
      <w:r>
        <w:t>1. Purpose and scope</w:t>
      </w:r>
    </w:p>
    <w:p>
      <w:r>
        <w:t>nartfem-apd (apd = asphalt pavement distresses) predicts the development of fatigue cracking, rutting, thermal cracking and roughness of a flexible pavement over its design life from one JSON input file. It replaces the layered-elastic structural response of the previous Python distress code by the nartfem nonlinear finite element engine, keeps the layered-elastic solution as a reference engine for all-linear structures, and keeps the climate, traffic, dynamic-modulus and transfer-function preprocessing of the previous code unchanged.</w:t>
      </w:r>
    </w:p>
    <w:p>
      <w:r>
        <w:t>This document describes the input format, the path of the data through the code, the two response engines, the damage accumulation loop, the verification of the new code against the previous one, the engineering choices that were made, and how the package and its scripts are run. The theory of the stress-dependent unbound layers and of the geogrid confinement model is documented in the nartfem README and in the earlier geogrid report; it is only summarized here.</w:t>
      </w:r>
    </w:p>
    <w:p>
      <w:pPr>
        <w:pStyle w:val="Caption"/>
      </w:pPr>
      <w:bookmarkStart w:id="1" w:name="Table1"/>
      <w:r>
        <w:t xml:space="preserve">Table </w:t>
      </w:r>
      <w:r>
        <w:fldChar w:fldCharType="begin"/>
      </w:r>
      <w:r>
        <w:instrText xml:space="preserve">SEQ Table \* ARABIC</w:instrText>
      </w:r>
      <w:r>
        <w:fldChar w:fldCharType="separate"/>
      </w:r>
      <w:r>
        <w:t>1</w:t>
      </w:r>
      <w:r>
        <w:fldChar w:fldCharType="end"/>
      </w:r>
      <w:bookmarkEnd w:id="1"/>
      <w:r>
        <w:t>. Packages and folders of the repository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880"/>
            <w:shd w:val="clear" w:fill="D9D9D9"/>
          </w:tcPr>
          <w:p>
            <w:r>
              <w:rPr>
                <w:sz w:val="19"/>
              </w:rPr>
            </w:r>
            <w:r>
              <w:rPr>
                <w:b/>
                <w:sz w:val="19"/>
              </w:rPr>
              <w:t>Folder</w:t>
            </w:r>
          </w:p>
        </w:tc>
        <w:tc>
          <w:tcPr>
            <w:tcW w:type="dxa" w:w="6480"/>
            <w:shd w:val="clear" w:fill="D9D9D9"/>
          </w:tcPr>
          <w:p>
            <w:r>
              <w:rPr>
                <w:sz w:val="19"/>
              </w:rPr>
            </w:r>
            <w:r>
              <w:rPr>
                <w:b/>
                <w:sz w:val="19"/>
              </w:rPr>
              <w:t>Content</w:t>
            </w:r>
          </w:p>
        </w:tc>
      </w:tr>
      <w:tr>
        <w:tc>
          <w:tcPr>
            <w:tcW w:type="dxa" w:w="2880"/>
          </w:tcPr>
          <w:p>
            <w:r>
              <w:rPr>
                <w:sz w:val="19"/>
              </w:rPr>
              <w:t>nartfem/axi</w:t>
            </w:r>
          </w:p>
        </w:tc>
        <w:tc>
          <w:tcPr>
            <w:tcW w:type="dxa" w:w="6480"/>
          </w:tcPr>
          <w:p>
            <w:r>
              <w:rPr>
                <w:sz w:val="19"/>
              </w:rPr>
              <w:t>Axisymmetric nonlinear FE engine (port of MatFEA): stress-dependent unbound layers (NCHRP 1-37A universal and K-theta), NCHRP 1-50 geogrid confinement, Anderson-mixed iteration, iterated superposition for axle groups (multitire.py)</w:t>
            </w:r>
          </w:p>
        </w:tc>
      </w:tr>
      <w:tr>
        <w:tc>
          <w:tcPr>
            <w:tcW w:type="dxa" w:w="2880"/>
          </w:tcPr>
          <w:p>
            <w:r>
              <w:rPr>
                <w:sz w:val="19"/>
              </w:rPr>
              <w:t>nartfem/solid3d</w:t>
            </w:r>
          </w:p>
        </w:tc>
        <w:tc>
          <w:tcPr>
            <w:tcW w:type="dxa" w:w="6480"/>
          </w:tcPr>
          <w:p>
            <w:r>
              <w:rPr>
                <w:sz w:val="19"/>
              </w:rPr>
              <w:t>3D hex engine, reference tool only</w:t>
            </w:r>
          </w:p>
        </w:tc>
      </w:tr>
      <w:tr>
        <w:tc>
          <w:tcPr>
            <w:tcW w:type="dxa" w:w="2880"/>
          </w:tcPr>
          <w:p>
            <w:r>
              <w:rPr>
                <w:sz w:val="19"/>
              </w:rPr>
              <w:t>nartfem/apd</w:t>
            </w:r>
          </w:p>
        </w:tc>
        <w:tc>
          <w:tcPr>
            <w:tcW w:type="dxa" w:w="6480"/>
          </w:tcPr>
          <w:p>
            <w:r>
              <w:rPr>
                <w:sz w:val="19"/>
              </w:rPr>
              <w:t>Distress prediction: input format, engines, Miner's-law loop, driver (this document)</w:t>
            </w:r>
          </w:p>
        </w:tc>
      </w:tr>
      <w:tr>
        <w:tc>
          <w:tcPr>
            <w:tcW w:type="dxa" w:w="2880"/>
          </w:tcPr>
          <w:p>
            <w:r>
              <w:rPr>
                <w:sz w:val="19"/>
              </w:rPr>
              <w:t>_UPDAPSAC_MinersLaw</w:t>
            </w:r>
          </w:p>
        </w:tc>
        <w:tc>
          <w:tcPr>
            <w:tcW w:type="dxa" w:w="6480"/>
          </w:tcPr>
          <w:p>
            <w:r>
              <w:rPr>
                <w:sz w:val="19"/>
              </w:rPr>
              <w:t>Legacy preprocessor and transfer functions (UPDAPSAC): traffic, climate (MCLIM), |E*| master curve and aging, sublayering, Nf / rutting / IRI functions, reliability. Imported unchanged by nartfem.apd</w:t>
            </w:r>
          </w:p>
        </w:tc>
      </w:tr>
      <w:tr>
        <w:tc>
          <w:tcPr>
            <w:tcW w:type="dxa" w:w="2880"/>
          </w:tcPr>
          <w:p>
            <w:r>
              <w:rPr>
                <w:sz w:val="19"/>
              </w:rPr>
              <w:t>scripts/apd_*.py, prep_apd_inputs_v1.py</w:t>
            </w:r>
          </w:p>
        </w:tc>
        <w:tc>
          <w:tcPr>
            <w:tcW w:type="dxa" w:w="6480"/>
          </w:tcPr>
          <w:p>
            <w:r>
              <w:rPr>
                <w:sz w:val="19"/>
              </w:rPr>
              <w:t>Batch runs, input sweeps, plotting, engine comparison</w:t>
            </w:r>
          </w:p>
        </w:tc>
      </w:tr>
      <w:tr>
        <w:tc>
          <w:tcPr>
            <w:tcW w:type="dxa" w:w="2880"/>
          </w:tcPr>
          <w:p>
            <w:r>
              <w:rPr>
                <w:sz w:val="19"/>
              </w:rPr>
              <w:t>examples/apd</w:t>
            </w:r>
          </w:p>
        </w:tc>
        <w:tc>
          <w:tcPr>
            <w:tcW w:type="dxa" w:w="6480"/>
          </w:tcPr>
          <w:p>
            <w:r>
              <w:rPr>
                <w:sz w:val="19"/>
              </w:rPr>
              <w:t>Example inputs (*.apd.json) and the verification results</w:t>
            </w:r>
          </w:p>
        </w:tc>
      </w:tr>
    </w:tbl>
    <w:p/>
    <w:p>
      <w:r>
        <w:t xml:space="preserve">The folders are listed in </w:t>
      </w:r>
      <w:r>
        <w:fldChar w:fldCharType="begin"/>
      </w:r>
      <w:r>
        <w:instrText xml:space="preserve">REF ref \h</w:instrText>
      </w:r>
      <w:r>
        <w:fldChar w:fldCharType="separate"/>
      </w:r>
      <w:r>
        <w:t>Table1</w:t>
      </w:r>
      <w:r>
        <w:fldChar w:fldCharType="end"/>
      </w:r>
      <w:r>
        <w:t>.</w:t>
      </w:r>
    </w:p>
    <w:p>
      <w:pPr>
        <w:pStyle w:val="Heading1"/>
      </w:pPr>
      <w:r>
        <w:t>2. Input format (nartfem-apd-1)</w:t>
      </w:r>
    </w:p>
    <w:p>
      <w:r>
        <w:t>One JSON file with four blocks: structure, traffic, climate and analysis. Units are inches, psi, lb, pcf, degrees Fahrenheit, mph, kN/m and degrees, i.e. the units of nartfem and of the legacy preprocessor; nothing is converted on input. The specification is the docstring of nartfem/apd/schema.py; the blocks are summarized below.</w:t>
      </w:r>
    </w:p>
    <w:p>
      <w:pPr>
        <w:pStyle w:val="Heading2"/>
      </w:pPr>
      <w:r>
        <w:t>2.1 Structure block</w:t>
      </w:r>
    </w:p>
    <w:p>
      <w:r>
        <w:t>structure.layers is a list of nartfem layers, top to bottom, the last one being the subgrade half-space. Each layer carries the nartfem material definition as-is (type, thickness_in, nu, unit_weight_pcf, E_psi, k, K0, residual_psi, Mr_min_psi, geogrids) plus the fields the distress models need.</w:t>
      </w:r>
    </w:p>
    <w:p>
      <w:pPr>
        <w:pStyle w:val="Caption"/>
      </w:pPr>
      <w:bookmarkStart w:id="2" w:name="Table2"/>
      <w:r>
        <w:t xml:space="preserve">Table </w:t>
      </w:r>
      <w:r>
        <w:fldChar w:fldCharType="begin"/>
      </w:r>
      <w:r>
        <w:instrText xml:space="preserve">SEQ Table \* ARABIC</w:instrText>
      </w:r>
      <w:r>
        <w:fldChar w:fldCharType="separate"/>
      </w:r>
      <w:r>
        <w:t>2</w:t>
      </w:r>
      <w:r>
        <w:fldChar w:fldCharType="end"/>
      </w:r>
      <w:bookmarkEnd w:id="2"/>
      <w:r>
        <w:t>. Layer fields of the structure block</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04"/>
            <w:shd w:val="clear" w:fill="D9D9D9"/>
          </w:tcPr>
          <w:p>
            <w:r>
              <w:rPr>
                <w:sz w:val="19"/>
              </w:rPr>
            </w:r>
            <w:r>
              <w:rPr>
                <w:b/>
                <w:sz w:val="19"/>
              </w:rPr>
              <w:t>Field</w:t>
            </w:r>
          </w:p>
        </w:tc>
        <w:tc>
          <w:tcPr>
            <w:tcW w:type="dxa" w:w="1584"/>
            <w:shd w:val="clear" w:fill="D9D9D9"/>
          </w:tcPr>
          <w:p>
            <w:r>
              <w:rPr>
                <w:sz w:val="19"/>
              </w:rPr>
            </w:r>
            <w:r>
              <w:rPr>
                <w:b/>
                <w:sz w:val="19"/>
              </w:rPr>
              <w:t>Layers</w:t>
            </w:r>
          </w:p>
        </w:tc>
        <w:tc>
          <w:tcPr>
            <w:tcW w:type="dxa" w:w="5472"/>
            <w:shd w:val="clear" w:fill="D9D9D9"/>
          </w:tcPr>
          <w:p>
            <w:r>
              <w:rPr>
                <w:sz w:val="19"/>
              </w:rPr>
            </w:r>
            <w:r>
              <w:rPr>
                <w:b/>
                <w:sz w:val="19"/>
              </w:rPr>
              <w:t>Meaning</w:t>
            </w:r>
          </w:p>
        </w:tc>
      </w:tr>
      <w:tr>
        <w:tc>
          <w:tcPr>
            <w:tcW w:type="dxa" w:w="2304"/>
          </w:tcPr>
          <w:p>
            <w:r>
              <w:rPr>
                <w:sz w:val="19"/>
              </w:rPr>
              <w:t>type</w:t>
            </w:r>
          </w:p>
        </w:tc>
        <w:tc>
          <w:tcPr>
            <w:tcW w:type="dxa" w:w="1584"/>
          </w:tcPr>
          <w:p>
            <w:r>
              <w:rPr>
                <w:sz w:val="19"/>
              </w:rPr>
              <w:t>all</w:t>
            </w:r>
          </w:p>
        </w:tc>
        <w:tc>
          <w:tcPr>
            <w:tcW w:type="dxa" w:w="5472"/>
          </w:tcPr>
          <w:p>
            <w:r>
              <w:rPr>
                <w:sz w:val="19"/>
              </w:rPr>
              <w:t>ac (viscoelastic asphalt), elastic, elastic_depth (E vs depth table), universal (k = [k1, k2, k3], k1 dimensionless), ktheta (k = [k1_psi, k2])</w:t>
            </w:r>
          </w:p>
        </w:tc>
      </w:tr>
      <w:tr>
        <w:tc>
          <w:tcPr>
            <w:tcW w:type="dxa" w:w="2304"/>
          </w:tcPr>
          <w:p>
            <w:r>
              <w:rPr>
                <w:sz w:val="19"/>
              </w:rPr>
              <w:t>role</w:t>
            </w:r>
          </w:p>
        </w:tc>
        <w:tc>
          <w:tcPr>
            <w:tcW w:type="dxa" w:w="1584"/>
          </w:tcPr>
          <w:p>
            <w:r>
              <w:rPr>
                <w:sz w:val="19"/>
              </w:rPr>
              <w:t>all (optional)</w:t>
            </w:r>
          </w:p>
        </w:tc>
        <w:tc>
          <w:tcPr>
            <w:tcW w:type="dxa" w:w="5472"/>
          </w:tcPr>
          <w:p>
            <w:r>
              <w:rPr>
                <w:sz w:val="19"/>
              </w:rPr>
              <w:t>AC, EAC, CSM, BASE, SUB; derived from the position and the ac block when absent</w:t>
            </w:r>
          </w:p>
        </w:tc>
      </w:tr>
      <w:tr>
        <w:tc>
          <w:tcPr>
            <w:tcW w:type="dxa" w:w="2304"/>
          </w:tcPr>
          <w:p>
            <w:r>
              <w:rPr>
                <w:sz w:val="19"/>
              </w:rPr>
              <w:t>thickness_in, nu, unit_weight_pcf</w:t>
            </w:r>
          </w:p>
        </w:tc>
        <w:tc>
          <w:tcPr>
            <w:tcW w:type="dxa" w:w="1584"/>
          </w:tcPr>
          <w:p>
            <w:r>
              <w:rPr>
                <w:sz w:val="19"/>
              </w:rPr>
              <w:t>all</w:t>
            </w:r>
          </w:p>
        </w:tc>
        <w:tc>
          <w:tcPr>
            <w:tcW w:type="dxa" w:w="5472"/>
          </w:tcPr>
          <w:p>
            <w:r>
              <w:rPr>
                <w:sz w:val="19"/>
              </w:rPr>
              <w:t>geometry and elastic constants (thickness ignored for the subgrade)</w:t>
            </w:r>
          </w:p>
        </w:tc>
      </w:tr>
      <w:tr>
        <w:tc>
          <w:tcPr>
            <w:tcW w:type="dxa" w:w="2304"/>
          </w:tcPr>
          <w:p>
            <w:r>
              <w:rPr>
                <w:sz w:val="19"/>
              </w:rPr>
              <w:t>E_psi</w:t>
            </w:r>
          </w:p>
        </w:tc>
        <w:tc>
          <w:tcPr>
            <w:tcW w:type="dxa" w:w="1584"/>
          </w:tcPr>
          <w:p>
            <w:r>
              <w:rPr>
                <w:sz w:val="19"/>
              </w:rPr>
              <w:t>unbound, subgrade</w:t>
            </w:r>
          </w:p>
        </w:tc>
        <w:tc>
          <w:tcPr>
            <w:tcW w:type="dxa" w:w="5472"/>
          </w:tcPr>
          <w:p>
            <w:r>
              <w:rPr>
                <w:sz w:val="19"/>
              </w:rPr>
              <w:t>modulus of an elastic layer; for a stress-dependent layer the modulus used by the layered-elastic engine and the seed of the nonlinear solve</w:t>
            </w:r>
          </w:p>
        </w:tc>
      </w:tr>
      <w:tr>
        <w:tc>
          <w:tcPr>
            <w:tcW w:type="dxa" w:w="2304"/>
          </w:tcPr>
          <w:p>
            <w:r>
              <w:rPr>
                <w:sz w:val="19"/>
              </w:rPr>
              <w:t>k, K0, residual_psi, Mr_min_psi</w:t>
            </w:r>
          </w:p>
        </w:tc>
        <w:tc>
          <w:tcPr>
            <w:tcW w:type="dxa" w:w="1584"/>
          </w:tcPr>
          <w:p>
            <w:r>
              <w:rPr>
                <w:sz w:val="19"/>
              </w:rPr>
              <w:t>universal, ktheta</w:t>
            </w:r>
          </w:p>
        </w:tc>
        <w:tc>
          <w:tcPr>
            <w:tcW w:type="dxa" w:w="5472"/>
          </w:tcPr>
          <w:p>
            <w:r>
              <w:rPr>
                <w:sz w:val="19"/>
              </w:rPr>
              <w:t>nonlinear model constants, at-rest pressure coefficient, residual (compaction) stress, modulus floor</w:t>
            </w:r>
          </w:p>
        </w:tc>
      </w:tr>
      <w:tr>
        <w:tc>
          <w:tcPr>
            <w:tcW w:type="dxa" w:w="2304"/>
          </w:tcPr>
          <w:p>
            <w:r>
              <w:rPr>
                <w:sz w:val="19"/>
              </w:rPr>
              <w:t>geogrids</w:t>
            </w:r>
          </w:p>
        </w:tc>
        <w:tc>
          <w:tcPr>
            <w:tcW w:type="dxa" w:w="1584"/>
          </w:tcPr>
          <w:p>
            <w:r>
              <w:rPr>
                <w:sz w:val="19"/>
              </w:rPr>
              <w:t>unbound</w:t>
            </w:r>
          </w:p>
        </w:tc>
        <w:tc>
          <w:tcPr>
            <w:tcW w:type="dxa" w:w="5472"/>
          </w:tcPr>
          <w:p>
            <w:r>
              <w:rPr>
                <w:sz w:val="19"/>
              </w:rPr>
              <w:t>list of nartfem geogrids: l_in (height above the layer bottom), delta_in (zone of influence), M_kNm, vg, phi_deg, c_psi, eps0, rho, beta, m, n, N</w:t>
            </w:r>
          </w:p>
        </w:tc>
      </w:tr>
      <w:tr>
        <w:tc>
          <w:tcPr>
            <w:tcW w:type="dxa" w:w="2304"/>
          </w:tcPr>
          <w:p>
            <w:r>
              <w:rPr>
                <w:sz w:val="19"/>
              </w:rPr>
              <w:t>ac</w:t>
            </w:r>
          </w:p>
        </w:tc>
        <w:tc>
          <w:tcPr>
            <w:tcW w:type="dxa" w:w="1584"/>
          </w:tcPr>
          <w:p>
            <w:r>
              <w:rPr>
                <w:sz w:val="19"/>
              </w:rPr>
              <w:t>AC, EAC</w:t>
            </w:r>
          </w:p>
        </w:tc>
        <w:tc>
          <w:tcPr>
            <w:tcW w:type="dxa" w:w="5472"/>
          </w:tcPr>
          <w:p>
            <w:r>
              <w:rPr>
                <w:sz w:val="19"/>
              </w:rPr>
              <w:t>Va_pct, Vbeff_pct, Tref_F, RTFO, IDT_psi and either the measured |E*| (temp_F, freq_Hz, estar_psi, phase_deg) and |G*| data or the fitted mastercurve coefficients (c, aT, A, VTS)</w:t>
            </w:r>
          </w:p>
        </w:tc>
      </w:tr>
      <w:tr>
        <w:tc>
          <w:tcPr>
            <w:tcW w:type="dxa" w:w="2304"/>
          </w:tcPr>
          <w:p>
            <w:r>
              <w:rPr>
                <w:sz w:val="19"/>
              </w:rPr>
              <w:t>thermal</w:t>
            </w:r>
          </w:p>
        </w:tc>
        <w:tc>
          <w:tcPr>
            <w:tcW w:type="dxa" w:w="1584"/>
          </w:tcPr>
          <w:p>
            <w:r>
              <w:rPr>
                <w:sz w:val="19"/>
              </w:rPr>
              <w:t>all</w:t>
            </w:r>
          </w:p>
        </w:tc>
        <w:tc>
          <w:tcPr>
            <w:tcW w:type="dxa" w:w="5472"/>
          </w:tcPr>
          <w:p>
            <w:r>
              <w:rPr>
                <w:sz w:val="19"/>
              </w:rPr>
              <w:t>conductivity (BTU/hr-ft-F) and heat_capacity (BTU/lb-F) for the climatic model</w:t>
            </w:r>
          </w:p>
        </w:tc>
      </w:tr>
      <w:tr>
        <w:tc>
          <w:tcPr>
            <w:tcW w:type="dxa" w:w="2304"/>
          </w:tcPr>
          <w:p>
            <w:r>
              <w:rPr>
                <w:sz w:val="19"/>
              </w:rPr>
              <w:t>p4_pct, p200_pct</w:t>
            </w:r>
          </w:p>
        </w:tc>
        <w:tc>
          <w:tcPr>
            <w:tcW w:type="dxa" w:w="1584"/>
          </w:tcPr>
          <w:p>
            <w:r>
              <w:rPr>
                <w:sz w:val="19"/>
              </w:rPr>
              <w:t>subgrade</w:t>
            </w:r>
          </w:p>
        </w:tc>
        <w:tc>
          <w:tcPr>
            <w:tcW w:type="dxa" w:w="5472"/>
          </w:tcPr>
          <w:p>
            <w:r>
              <w:rPr>
                <w:sz w:val="19"/>
              </w:rPr>
              <w:t>gradation for the IRI model</w:t>
            </w:r>
          </w:p>
        </w:tc>
      </w:tr>
    </w:tbl>
    <w:p/>
    <w:p>
      <w:r>
        <w:t>An AC layer has type ac and no modulus field: its modulus is the dynamic modulus |E*|(T, f) from the ac block, computed for every month and temperature quintile and assigned to every AC sublayer before each structural solve (</w:t>
      </w:r>
      <w:r>
        <w:fldChar w:fldCharType="begin"/>
      </w:r>
      <w:r>
        <w:instrText xml:space="preserve">REF ref \h</w:instrText>
      </w:r>
      <w:r>
        <w:fldChar w:fldCharType="separate"/>
      </w:r>
      <w:r>
        <w:t>Table2</w:t>
      </w:r>
      <w:r>
        <w:fldChar w:fldCharType="end"/>
      </w:r>
      <w:r>
        <w:t>). structure also holds gwt_ft (ground water depth) and bedrock_depth_in, and may carry the nartfem domain and solver blocks.</w:t>
      </w:r>
    </w:p>
    <w:p>
      <w:pPr>
        <w:pStyle w:val="Heading2"/>
      </w:pPr>
      <w:r>
        <w:t>2.2 Traffic, climate and analysis blocks</w:t>
      </w:r>
    </w:p>
    <w:p>
      <w:pPr>
        <w:pStyle w:val="Caption"/>
      </w:pPr>
      <w:bookmarkStart w:id="3" w:name="Table3"/>
      <w:r>
        <w:t xml:space="preserve">Table </w:t>
      </w:r>
      <w:r>
        <w:fldChar w:fldCharType="begin"/>
      </w:r>
      <w:r>
        <w:instrText xml:space="preserve">SEQ Table \* ARABIC</w:instrText>
      </w:r>
      <w:r>
        <w:fldChar w:fldCharType="separate"/>
      </w:r>
      <w:r>
        <w:t>3</w:t>
      </w:r>
      <w:r>
        <w:fldChar w:fldCharType="end"/>
      </w:r>
      <w:bookmarkEnd w:id="3"/>
      <w:r>
        <w:t>. Traffic, climate and analysis blocks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584"/>
            <w:shd w:val="clear" w:fill="D9D9D9"/>
          </w:tcPr>
          <w:p>
            <w:r>
              <w:rPr>
                <w:sz w:val="19"/>
              </w:rPr>
            </w:r>
            <w:r>
              <w:rPr>
                <w:b/>
                <w:sz w:val="19"/>
              </w:rPr>
              <w:t>Block</w:t>
            </w:r>
          </w:p>
        </w:tc>
        <w:tc>
          <w:tcPr>
            <w:tcW w:type="dxa" w:w="7776"/>
            <w:shd w:val="clear" w:fill="D9D9D9"/>
          </w:tcPr>
          <w:p>
            <w:r>
              <w:rPr>
                <w:sz w:val="19"/>
              </w:rPr>
            </w:r>
            <w:r>
              <w:rPr>
                <w:b/>
                <w:sz w:val="19"/>
              </w:rPr>
              <w:t>Fields</w:t>
            </w:r>
          </w:p>
        </w:tc>
      </w:tr>
      <w:tr>
        <w:tc>
          <w:tcPr>
            <w:tcW w:type="dxa" w:w="1584"/>
          </w:tcPr>
          <w:p>
            <w:r>
              <w:rPr>
                <w:sz w:val="19"/>
              </w:rPr>
              <w:t>traffic</w:t>
            </w:r>
          </w:p>
        </w:tc>
        <w:tc>
          <w:tcPr>
            <w:tcW w:type="dxa" w:w="7776"/>
          </w:tcPr>
          <w:p>
            <w:r>
              <w:rPr>
                <w:sz w:val="19"/>
              </w:rPr>
              <w:t>aadtt, ddf, ldf, open_month, speed_mph, tire_pressure_psi, dual_spacing_in, axle_spacing_in {tandem, tridem, quad}, wheel_wander_in, classes, class_pct, growth [{type, pct}] per class, axles_per_truck {single, tandem, tridem, quad}, mdf (12 x classes), spectra {single, tandem, tridem, quad: loads_lb, month_class, pct}</w:t>
            </w:r>
          </w:p>
        </w:tc>
      </w:tr>
      <w:tr>
        <w:tc>
          <w:tcPr>
            <w:tcW w:type="dxa" w:w="1584"/>
          </w:tcPr>
          <w:p>
            <w:r>
              <w:rPr>
                <w:sz w:val="19"/>
              </w:rPr>
              <w:t>climate</w:t>
            </w:r>
          </w:p>
        </w:tc>
        <w:tc>
          <w:tcPr>
            <w:tcW w:type="dxa" w:w="7776"/>
          </w:tcPr>
          <w:p>
            <w:r>
              <w:rPr>
                <w:sz w:val="19"/>
              </w:rPr>
              <w:t>file and folder of the hourly climate file (MATLAB .hcm or .csv.gz), type (MERRA2 or NARR), model, latitude, longitude, utc, daylight_saving, surface_absorptivity</w:t>
            </w:r>
          </w:p>
        </w:tc>
      </w:tr>
      <w:tr>
        <w:tc>
          <w:tcPr>
            <w:tcW w:type="dxa" w:w="1584"/>
          </w:tcPr>
          <w:p>
            <w:r>
              <w:rPr>
                <w:sz w:val="19"/>
              </w:rPr>
              <w:t>analysis</w:t>
            </w:r>
          </w:p>
        </w:tc>
        <w:tc>
          <w:tcPr>
            <w:tcW w:type="dxa" w:w="7776"/>
          </w:tcPr>
          <w:p>
            <w:r>
              <w:rPr>
                <w:sz w:val="19"/>
              </w:rPr>
              <w:t>design_life_yr, thresholds [{distress, threshold, reliability_pct}], stdev_models (reliability standard-deviation equations), calibration (biBu, kiBu, cTfBu, biTd, kiTd, cTfTd, briAC, kriAC, briB, briS, cIRI, iriO, tCoefK), response_engine (section 4), distress_choice, save_period</w:t>
            </w:r>
          </w:p>
        </w:tc>
      </w:tr>
    </w:tbl>
    <w:p/>
    <w:p>
      <w:r>
        <w:t xml:space="preserve">The remaining blocks are summarized in </w:t>
      </w:r>
      <w:r>
        <w:fldChar w:fldCharType="begin"/>
      </w:r>
      <w:r>
        <w:instrText xml:space="preserve">REF ref \h</w:instrText>
      </w:r>
      <w:r>
        <w:fldChar w:fldCharType="separate"/>
      </w:r>
      <w:r>
        <w:t>Table3</w:t>
      </w:r>
      <w:r>
        <w:fldChar w:fldCharType="end"/>
      </w:r>
      <w:r>
        <w:t>. Legacy UPDAPSAC input files are converted by nartfem/apd/convert_legacy.py (UNBOUNDNONLIN layers become universal layers with the k values of nonlinGGJSON; the unbGG block becomes a geogrid when its flag a is non-zero; |E*| data are carried as data), and nartfem.apd.run also accepts a legacy file directly and converts it on the fly.</w:t>
      </w:r>
    </w:p>
    <w:p>
      <w:pPr>
        <w:pStyle w:val="Heading1"/>
      </w:pPr>
      <w:r>
        <w:t>3. Data path</w:t>
      </w:r>
    </w:p>
    <w:p>
      <w:r>
        <w:t>The run has four stages. The first and the last are the legacy code, called through a thin bridge; the two in the middle are new.</w:t>
      </w:r>
    </w:p>
    <w:p>
      <w:pPr>
        <w:pStyle w:val="Caption"/>
      </w:pPr>
      <w:bookmarkStart w:id="4" w:name="Table4"/>
      <w:r>
        <w:t xml:space="preserve">Table </w:t>
      </w:r>
      <w:r>
        <w:fldChar w:fldCharType="begin"/>
      </w:r>
      <w:r>
        <w:instrText xml:space="preserve">SEQ Table \* ARABIC</w:instrText>
      </w:r>
      <w:r>
        <w:fldChar w:fldCharType="separate"/>
      </w:r>
      <w:r>
        <w:t>4</w:t>
      </w:r>
      <w:r>
        <w:fldChar w:fldCharType="end"/>
      </w:r>
      <w:bookmarkEnd w:id="4"/>
      <w:r>
        <w:t>. Stages of a run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shd w:val="clear" w:fill="D9D9D9"/>
          </w:tcPr>
          <w:p>
            <w:r>
              <w:rPr>
                <w:sz w:val="19"/>
              </w:rPr>
            </w:r>
            <w:r>
              <w:rPr>
                <w:b/>
                <w:sz w:val="19"/>
              </w:rPr>
              <w:t>Stage</w:t>
            </w:r>
          </w:p>
        </w:tc>
        <w:tc>
          <w:tcPr>
            <w:tcW w:type="dxa" w:w="2880"/>
            <w:shd w:val="clear" w:fill="D9D9D9"/>
          </w:tcPr>
          <w:p>
            <w:r>
              <w:rPr>
                <w:sz w:val="19"/>
              </w:rPr>
            </w:r>
            <w:r>
              <w:rPr>
                <w:b/>
                <w:sz w:val="19"/>
              </w:rPr>
              <w:t>Code</w:t>
            </w:r>
          </w:p>
        </w:tc>
        <w:tc>
          <w:tcPr>
            <w:tcW w:type="dxa" w:w="4608"/>
            <w:shd w:val="clear" w:fill="D9D9D9"/>
          </w:tcPr>
          <w:p>
            <w:r>
              <w:rPr>
                <w:sz w:val="19"/>
              </w:rPr>
            </w:r>
            <w:r>
              <w:rPr>
                <w:b/>
                <w:sz w:val="19"/>
              </w:rPr>
              <w:t>What it does</w:t>
            </w:r>
          </w:p>
        </w:tc>
      </w:tr>
      <w:tr>
        <w:tc>
          <w:tcPr>
            <w:tcW w:type="dxa" w:w="1872"/>
          </w:tcPr>
          <w:p>
            <w:r>
              <w:rPr>
                <w:sz w:val="19"/>
              </w:rPr>
              <w:t>1 Preprocessing</w:t>
            </w:r>
          </w:p>
        </w:tc>
        <w:tc>
          <w:tcPr>
            <w:tcW w:type="dxa" w:w="2880"/>
          </w:tcPr>
          <w:p>
            <w:r>
              <w:rPr>
                <w:sz w:val="19"/>
              </w:rPr>
              <w:t>_UPDAPSAC_MinersLaw/UPDAPSAC_STEP1.py via nartfem/apd/legacy_bridge.py</w:t>
            </w:r>
          </w:p>
        </w:tc>
        <w:tc>
          <w:tcPr>
            <w:tcW w:type="dxa" w:w="4608"/>
          </w:tcPr>
          <w:p>
            <w:r>
              <w:rPr>
                <w:sz w:val="19"/>
              </w:rPr>
              <w:t>axle load spectra per month and temperature quintile; sublayering (AC 0.5, 0.5, 1, 1 ... in, unbound 2 in); analysis depths (0.99 h_AC for bottom-up cracking, 0.5 in for top-down, sublayer mid-depths for rutting, subgrade top and 6 in below); loading frequency and axle-group pass correction; analysis points across and along the wheel path; climatic model (hourly temperatures, quintiles); |E*|(T, f) with global aging per AC sublayer, month and quintile; thermal cracking; calibration constants; wheel wander</w:t>
            </w:r>
          </w:p>
        </w:tc>
      </w:tr>
      <w:tr>
        <w:tc>
          <w:tcPr>
            <w:tcW w:type="dxa" w:w="1872"/>
          </w:tcPr>
          <w:p>
            <w:r>
              <w:rPr>
                <w:sz w:val="19"/>
              </w:rPr>
              <w:t>2 Structural responses</w:t>
            </w:r>
          </w:p>
        </w:tc>
        <w:tc>
          <w:tcPr>
            <w:tcW w:type="dxa" w:w="2880"/>
          </w:tcPr>
          <w:p>
            <w:r>
              <w:rPr>
                <w:sz w:val="19"/>
              </w:rPr>
              <w:t>nartfem/apd/engine_nartfem.py or engine_matlea.py</w:t>
            </w:r>
          </w:p>
        </w:tc>
        <w:tc>
          <w:tcPr>
            <w:tcW w:type="dxa" w:w="4608"/>
          </w:tcPr>
          <w:p>
            <w:r>
              <w:rPr>
                <w:sz w:val="19"/>
              </w:rPr>
              <w:t>for every month, quintile and axle group: solve the structure with the reference tire and evaluate the strain tensor at the analysis points (section 4)</w:t>
            </w:r>
          </w:p>
        </w:tc>
      </w:tr>
      <w:tr>
        <w:tc>
          <w:tcPr>
            <w:tcW w:type="dxa" w:w="1872"/>
          </w:tcPr>
          <w:p>
            <w:r>
              <w:rPr>
                <w:sz w:val="19"/>
              </w:rPr>
              <w:t>3 Damage accumulation</w:t>
            </w:r>
          </w:p>
        </w:tc>
        <w:tc>
          <w:tcPr>
            <w:tcW w:type="dxa" w:w="2880"/>
          </w:tcPr>
          <w:p>
            <w:r>
              <w:rPr>
                <w:sz w:val="19"/>
              </w:rPr>
              <w:t>nartfem/apd/distress.py</w:t>
            </w:r>
          </w:p>
        </w:tc>
        <w:tc>
          <w:tcPr>
            <w:tcW w:type="dxa" w:w="4608"/>
          </w:tcPr>
          <w:p>
            <w:r>
              <w:rPr>
                <w:sz w:val="19"/>
              </w:rPr>
              <w:t>critical strains per load bin, Miner's-law fatigue damage with wander, strain-hardening rutting of AC, base and subgrade, transfer functions, IRI (section 5)</w:t>
            </w:r>
          </w:p>
        </w:tc>
      </w:tr>
      <w:tr>
        <w:tc>
          <w:tcPr>
            <w:tcW w:type="dxa" w:w="1872"/>
          </w:tcPr>
          <w:p>
            <w:r>
              <w:rPr>
                <w:sz w:val="19"/>
              </w:rPr>
              <w:t>4 Reliability</w:t>
            </w:r>
          </w:p>
        </w:tc>
        <w:tc>
          <w:tcPr>
            <w:tcW w:type="dxa" w:w="2880"/>
          </w:tcPr>
          <w:p>
            <w:r>
              <w:rPr>
                <w:sz w:val="19"/>
              </w:rPr>
              <w:t>_UPDAPSAC_MinersLaw/f_calc_distress_atrel.py</w:t>
            </w:r>
          </w:p>
        </w:tc>
        <w:tc>
          <w:tcPr>
            <w:tcW w:type="dxa" w:w="4608"/>
          </w:tcPr>
          <w:p>
            <w:r>
              <w:rPr>
                <w:sz w:val="19"/>
              </w:rPr>
              <w:t>distress at the requested reliability from the standard-deviation equations</w:t>
            </w:r>
          </w:p>
        </w:tc>
      </w:tr>
    </w:tbl>
    <w:p/>
    <w:p>
      <w:r>
        <w:fldChar w:fldCharType="begin"/>
      </w:r>
      <w:r>
        <w:instrText xml:space="preserve">REF ref \h</w:instrText>
      </w:r>
      <w:r>
        <w:fldChar w:fldCharType="separate"/>
      </w:r>
      <w:r>
        <w:t>Table4</w:t>
      </w:r>
      <w:r>
        <w:fldChar w:fldCharType="end"/>
      </w:r>
      <w:r>
        <w:t xml:space="preserve"> lists the stages. The climate file is read from climate.folder/climate.file; a MATLAB-format .hcm file is converted once to the gzipped CSV the reader expects and cached in &lt;out_dir&gt;/climate_cache.</w:t>
      </w:r>
    </w:p>
    <w:p>
      <w:pPr>
        <w:pStyle w:val="Heading1"/>
      </w:pPr>
      <w:r>
        <w:t>4. Response engines</w:t>
      </w:r>
    </w:p>
    <w:p>
      <w:r>
        <w:t>analysis.response_engine.engine selects the engine: auto (layered-elastic when all layers are elastic and no geogrid is present, nartfem otherwise), nartfem, or matlea. Both engines receive the same request for every climate case: the moduli of all sublayers, the reference tire (contact pressure = tire pressure, contact radius from the 4500 lb reference tire load) and the analysis points, and return the strain tensor components eps_xx, eps_yy, eps_zz and the maximum principal strain at every point for the single, tandem, tridem and quad axle groups.</w:t>
      </w:r>
    </w:p>
    <w:p>
      <w:pPr>
        <w:pStyle w:val="Heading2"/>
      </w:pPr>
      <w:r>
        <w:t>4.1 Layered-elastic engine</w:t>
      </w:r>
    </w:p>
    <w:p>
      <w:r>
        <w:t>The previous path: one Burmister solution of the single reference tire per climate case, interpolated along the radius and superposed for the tires of each axle group with the legacy superposition routine. With this engine and linear load scaling the new loop reproduces the previous distress code to round-off (maximum relative difference 4e-14 on all monthly distresses).</w:t>
      </w:r>
    </w:p>
    <w:p>
      <w:pPr>
        <w:pStyle w:val="Heading2"/>
      </w:pPr>
      <w:r>
        <w:t>4.2 nartfem engine</w:t>
      </w:r>
    </w:p>
    <w:p>
      <w:r>
        <w:t>The nartfem engine solves, for every climate case and every axle group, the iterated-superposition problem of nartfem.axi.multitire: the axisymmetric single-tire finite element solution is superposed for all tires of the axle group, the modulus of every stress-dependent element is computed from the superposed stress state (azimuth-averaged, with overburden, at-rest and residual stress, tension clip and modulus floor, and with the geogrid confinement where a geogrid is present), and the field is iterated with Anderson mixing until the modulus criterion of nartfem is met. The strains at the analysis points are evaluated exactly inside the elements (no interpolation of element-center values, which underestimates the AC-bottom strain by 8-10 % and the subgrade strain by 7-25 %), rotated to the x-y frame of each tire and summed; the maximum principal strain is the largest eigenvalue of the 3D tensor.</w:t>
      </w:r>
    </w:p>
    <w:p>
      <w:pPr>
        <w:pStyle w:val="Caption"/>
      </w:pPr>
      <w:bookmarkStart w:id="5" w:name="Table5"/>
      <w:r>
        <w:t xml:space="preserve">Table </w:t>
      </w:r>
      <w:r>
        <w:fldChar w:fldCharType="begin"/>
      </w:r>
      <w:r>
        <w:instrText xml:space="preserve">SEQ Table \* ARABIC</w:instrText>
      </w:r>
      <w:r>
        <w:fldChar w:fldCharType="separate"/>
      </w:r>
      <w:r>
        <w:t>5</w:t>
      </w:r>
      <w:r>
        <w:fldChar w:fldCharType="end"/>
      </w:r>
      <w:bookmarkEnd w:id="5"/>
      <w:r>
        <w:t>. Engineering choices of the nartfem engine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shd w:val="clear" w:fill="D9D9D9"/>
          </w:tcPr>
          <w:p>
            <w:r>
              <w:rPr>
                <w:sz w:val="19"/>
              </w:rPr>
            </w:r>
            <w:r>
              <w:rPr>
                <w:b/>
                <w:sz w:val="19"/>
              </w:rPr>
              <w:t>Choice</w:t>
            </w:r>
          </w:p>
        </w:tc>
        <w:tc>
          <w:tcPr>
            <w:tcW w:type="dxa" w:w="3744"/>
            <w:shd w:val="clear" w:fill="D9D9D9"/>
          </w:tcPr>
          <w:p>
            <w:r>
              <w:rPr>
                <w:sz w:val="19"/>
              </w:rPr>
            </w:r>
            <w:r>
              <w:rPr>
                <w:b/>
                <w:sz w:val="19"/>
              </w:rPr>
              <w:t>Implementation</w:t>
            </w:r>
          </w:p>
        </w:tc>
        <w:tc>
          <w:tcPr>
            <w:tcW w:type="dxa" w:w="3456"/>
            <w:shd w:val="clear" w:fill="D9D9D9"/>
          </w:tcPr>
          <w:p>
            <w:r>
              <w:rPr>
                <w:sz w:val="19"/>
              </w:rPr>
            </w:r>
            <w:r>
              <w:rPr>
                <w:b/>
                <w:sz w:val="19"/>
              </w:rPr>
              <w:t>Reason</w:t>
            </w:r>
          </w:p>
        </w:tc>
      </w:tr>
      <w:tr>
        <w:tc>
          <w:tcPr>
            <w:tcW w:type="dxa" w:w="2160"/>
          </w:tcPr>
          <w:p>
            <w:r>
              <w:rPr>
                <w:sz w:val="19"/>
              </w:rPr>
              <w:t>AC sublayers</w:t>
            </w:r>
          </w:p>
        </w:tc>
        <w:tc>
          <w:tcPr>
            <w:tcW w:type="dxa" w:w="3744"/>
          </w:tcPr>
          <w:p>
            <w:r>
              <w:rPr>
                <w:sz w:val="19"/>
              </w:rPr>
              <w:t>each sublayer of the preprocessor is a separate elastic layer of the FE model with its own |E*|(T, f)</w:t>
            </w:r>
          </w:p>
        </w:tc>
        <w:tc>
          <w:tcPr>
            <w:tcW w:type="dxa" w:w="3456"/>
          </w:tcPr>
          <w:p>
            <w:r>
              <w:rPr>
                <w:sz w:val="19"/>
              </w:rPr>
              <w:t>same layering as the layered-elastic engine; node rows at the sublayer boundaries</w:t>
            </w:r>
          </w:p>
        </w:tc>
      </w:tr>
      <w:tr>
        <w:tc>
          <w:tcPr>
            <w:tcW w:type="dxa" w:w="2160"/>
          </w:tcPr>
          <w:p>
            <w:r>
              <w:rPr>
                <w:sz w:val="19"/>
              </w:rPr>
              <w:t>Reuse across cases</w:t>
            </w:r>
          </w:p>
        </w:tc>
        <w:tc>
          <w:tcPr>
            <w:tcW w:type="dxa" w:w="3744"/>
          </w:tcPr>
          <w:p>
            <w:r>
              <w:rPr>
                <w:sz w:val="19"/>
              </w:rPr>
              <w:t>one mesh, one set of B matrices and integration constants, one solver pattern; AC element stiffnesses rescaled when |E*| changes; the unbound modulus field of the previous case is the warm start</w:t>
            </w:r>
          </w:p>
        </w:tc>
        <w:tc>
          <w:tcPr>
            <w:tcW w:type="dxa" w:w="3456"/>
          </w:tcPr>
          <w:p>
            <w:r>
              <w:rPr>
                <w:sz w:val="19"/>
              </w:rPr>
              <w:t>about 2 iterations per case instead of 3-6; a 20-year run (1200 cases x 4 axle groups) takes minutes</w:t>
            </w:r>
          </w:p>
        </w:tc>
      </w:tr>
      <w:tr>
        <w:tc>
          <w:tcPr>
            <w:tcW w:type="dxa" w:w="2160"/>
          </w:tcPr>
          <w:p>
            <w:r>
              <w:rPr>
                <w:sz w:val="19"/>
              </w:rPr>
              <w:t>Interface points</w:t>
            </w:r>
          </w:p>
        </w:tc>
        <w:tc>
          <w:tcPr>
            <w:tcW w:type="dxa" w:w="3744"/>
          </w:tcPr>
          <w:p>
            <w:r>
              <w:rPr>
                <w:sz w:val="19"/>
              </w:rPr>
              <w:t>a point on an interior interface is evaluated in the element below</w:t>
            </w:r>
          </w:p>
        </w:tc>
        <w:tc>
          <w:tcPr>
            <w:tcW w:type="dxa" w:w="3456"/>
          </w:tcPr>
          <w:p>
            <w:r>
              <w:rPr>
                <w:sz w:val="19"/>
              </w:rPr>
              <w:t>the convention of the layered-elastic engine</w:t>
            </w:r>
          </w:p>
        </w:tc>
      </w:tr>
      <w:tr>
        <w:tc>
          <w:tcPr>
            <w:tcW w:type="dxa" w:w="2160"/>
          </w:tcPr>
          <w:p>
            <w:r>
              <w:rPr>
                <w:sz w:val="19"/>
              </w:rPr>
              <w:t>Subgrade split (subgrade_split_in = 6)</w:t>
            </w:r>
          </w:p>
        </w:tc>
        <w:tc>
          <w:tcPr>
            <w:tcW w:type="dxa" w:w="3744"/>
          </w:tcPr>
          <w:p>
            <w:r>
              <w:rPr>
                <w:sz w:val="19"/>
              </w:rPr>
              <w:t>a node row at 6 in below the subgrade top</w:t>
            </w:r>
          </w:p>
        </w:tc>
        <w:tc>
          <w:tcPr>
            <w:tcW w:type="dxa" w:w="3456"/>
          </w:tcPr>
          <w:p>
            <w:r>
              <w:rPr>
                <w:sz w:val="19"/>
              </w:rPr>
              <w:t>the subgrade rut model uses the strain ratio between the subgrade top and 6 in below; inside a coarse element that strain moved by +/-8 % with the mesh and produced a spurious +30 % geogrid effect; on the node row it is mesh-independent</w:t>
            </w:r>
          </w:p>
        </w:tc>
      </w:tr>
      <w:tr>
        <w:tc>
          <w:tcPr>
            <w:tcW w:type="dxa" w:w="2160"/>
          </w:tcPr>
          <w:p>
            <w:r>
              <w:rPr>
                <w:sz w:val="19"/>
              </w:rPr>
              <w:t>Shear convention (shear = legacy)</w:t>
            </w:r>
          </w:p>
        </w:tc>
        <w:tc>
          <w:tcPr>
            <w:tcW w:type="dxa" w:w="3744"/>
          </w:tcPr>
          <w:p>
            <w:r>
              <w:rPr>
                <w:sz w:val="19"/>
              </w:rPr>
              <w:t>the engineering shear strain is put in the tensor as the legacy superposition does; shear = tensor uses gamma/2</w:t>
            </w:r>
          </w:p>
        </w:tc>
        <w:tc>
          <w:tcPr>
            <w:tcW w:type="dxa" w:w="3456"/>
          </w:tcPr>
          <w:p>
            <w:r>
              <w:rPr>
                <w:sz w:val="19"/>
              </w:rPr>
              <w:t>only the maximum principal strain (top-down cracking) is affected; legacy keeps the top-down calibration comparable (tensor gives ~45 % lower principal strains where shear dominates)</w:t>
            </w:r>
          </w:p>
        </w:tc>
      </w:tr>
      <w:tr>
        <w:tc>
          <w:tcPr>
            <w:tcW w:type="dxa" w:w="2160"/>
          </w:tcPr>
          <w:p>
            <w:r>
              <w:rPr>
                <w:sz w:val="19"/>
              </w:rPr>
              <w:t>Load scaling (load_scaling = linear)</w:t>
            </w:r>
          </w:p>
        </w:tc>
        <w:tc>
          <w:tcPr>
            <w:tcW w:type="dxa" w:w="3744"/>
          </w:tcPr>
          <w:p>
            <w:r>
              <w:rPr>
                <w:sz w:val="19"/>
              </w:rPr>
              <w:t>one solution per case at the reference load, strains proportional to the axle load; power solves the case at power_levels x the reference pressure and interpolates log-log over the load</w:t>
            </w:r>
          </w:p>
        </w:tc>
        <w:tc>
          <w:tcPr>
            <w:tcW w:type="dxa" w:w="3456"/>
          </w:tcPr>
          <w:p>
            <w:r>
              <w:rPr>
                <w:sz w:val="19"/>
              </w:rPr>
              <w:t>linear is the legacy convention; power captures the stress-softening under heavy axles (FL case, 1 year: subgrade rut +13 %, fatigue damage -2 %)</w:t>
            </w:r>
          </w:p>
        </w:tc>
      </w:tr>
      <w:tr>
        <w:tc>
          <w:tcPr>
            <w:tcW w:type="dxa" w:w="2160"/>
          </w:tcPr>
          <w:p>
            <w:r>
              <w:rPr>
                <w:sz w:val="19"/>
              </w:rPr>
              <w:t>Moduli in the transfer functions</w:t>
            </w:r>
          </w:p>
        </w:tc>
        <w:tc>
          <w:tcPr>
            <w:tcW w:type="dxa" w:w="3744"/>
          </w:tcPr>
          <w:p>
            <w:r>
              <w:rPr>
                <w:sz w:val="19"/>
              </w:rPr>
              <w:t>the layer modulus of the input (E_psi, |E*|) is used in the Tseng-Lytton water-content term and in Nf, not the solved nonlinear modulus</w:t>
            </w:r>
          </w:p>
        </w:tc>
        <w:tc>
          <w:tcPr>
            <w:tcW w:type="dxa" w:w="3456"/>
          </w:tcPr>
          <w:p>
            <w:r>
              <w:rPr>
                <w:sz w:val="19"/>
              </w:rPr>
              <w:t>the calibration refers to the design modulus; only the strains come from the nonlinear solution</w:t>
            </w:r>
          </w:p>
        </w:tc>
      </w:tr>
      <w:tr>
        <w:tc>
          <w:tcPr>
            <w:tcW w:type="dxa" w:w="2160"/>
          </w:tcPr>
          <w:p>
            <w:r>
              <w:rPr>
                <w:sz w:val="19"/>
              </w:rPr>
              <w:t>Parallel runs (workers &gt; 1)</w:t>
            </w:r>
          </w:p>
        </w:tc>
        <w:tc>
          <w:tcPr>
            <w:tcW w:type="dxa" w:w="3744"/>
          </w:tcPr>
          <w:p>
            <w:r>
              <w:rPr>
                <w:sz w:val="19"/>
              </w:rPr>
              <w:t>the climate cases are solved in a process pool in chunks of consecutive cases, the Miner's loop then runs on the cached responses</w:t>
            </w:r>
          </w:p>
        </w:tc>
        <w:tc>
          <w:tcPr>
            <w:tcW w:type="dxa" w:w="3456"/>
          </w:tcPr>
          <w:p>
            <w:r>
              <w:rPr>
                <w:sz w:val="19"/>
              </w:rPr>
              <w:t>the damage loop is sequential, the responses are not</w:t>
            </w:r>
          </w:p>
        </w:tc>
      </w:tr>
    </w:tbl>
    <w:p/>
    <w:p>
      <w:r>
        <w:t xml:space="preserve">The engineering choices and the corresponding options are listed in </w:t>
      </w:r>
      <w:r>
        <w:fldChar w:fldCharType="begin"/>
      </w:r>
      <w:r>
        <w:instrText xml:space="preserve">REF ref \h</w:instrText>
      </w:r>
      <w:r>
        <w:fldChar w:fldCharType="separate"/>
      </w:r>
      <w:r>
        <w:t>Table5</w:t>
      </w:r>
      <w:r>
        <w:fldChar w:fldCharType="end"/>
      </w:r>
      <w:r>
        <w:t>.</w:t>
      </w:r>
    </w:p>
    <w:p>
      <w:pPr>
        <w:pStyle w:val="Heading1"/>
      </w:pPr>
      <w:r>
        <w:t>5. Damage accumulation</w:t>
      </w:r>
    </w:p>
    <w:p>
      <w:r>
        <w:t>nartfem/apd/distress.py is the Miner's-law loop of the previous code with two generalizations: the responses come from a response engine, and the critical strain of each axle-load bin is an explicit function of the engine results (linear scaling or log-log interpolation between solved load levels). The legacy transfer functions (Nf, plastic strain, wander, IRI) are called unchanged.</w:t>
      </w:r>
    </w:p>
    <w:p>
      <w:pPr>
        <w:pStyle w:val="Caption"/>
      </w:pPr>
      <w:bookmarkStart w:id="6" w:name="Table6"/>
      <w:r>
        <w:t xml:space="preserve">Table </w:t>
      </w:r>
      <w:r>
        <w:fldChar w:fldCharType="begin"/>
      </w:r>
      <w:r>
        <w:instrText xml:space="preserve">SEQ Table \* ARABIC</w:instrText>
      </w:r>
      <w:r>
        <w:fldChar w:fldCharType="separate"/>
      </w:r>
      <w:r>
        <w:t>6</w:t>
      </w:r>
      <w:r>
        <w:fldChar w:fldCharType="end"/>
      </w:r>
      <w:bookmarkEnd w:id="6"/>
      <w:r>
        <w:t>. Distress models and the responses they use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shd w:val="clear" w:fill="D9D9D9"/>
          </w:tcPr>
          <w:p>
            <w:r>
              <w:rPr>
                <w:sz w:val="19"/>
              </w:rPr>
            </w:r>
            <w:r>
              <w:rPr>
                <w:b/>
                <w:sz w:val="19"/>
              </w:rPr>
              <w:t>Distress</w:t>
            </w:r>
          </w:p>
        </w:tc>
        <w:tc>
          <w:tcPr>
            <w:tcW w:type="dxa" w:w="3168"/>
            <w:shd w:val="clear" w:fill="D9D9D9"/>
          </w:tcPr>
          <w:p>
            <w:r>
              <w:rPr>
                <w:sz w:val="19"/>
              </w:rPr>
            </w:r>
            <w:r>
              <w:rPr>
                <w:b/>
                <w:sz w:val="19"/>
              </w:rPr>
              <w:t>Response</w:t>
            </w:r>
          </w:p>
        </w:tc>
        <w:tc>
          <w:tcPr>
            <w:tcW w:type="dxa" w:w="4032"/>
            <w:shd w:val="clear" w:fill="D9D9D9"/>
          </w:tcPr>
          <w:p>
            <w:r>
              <w:rPr>
                <w:sz w:val="19"/>
              </w:rPr>
            </w:r>
            <w:r>
              <w:rPr>
                <w:b/>
                <w:sz w:val="19"/>
              </w:rPr>
              <w:t>Model</w:t>
            </w:r>
          </w:p>
        </w:tc>
      </w:tr>
      <w:tr>
        <w:tc>
          <w:tcPr>
            <w:tcW w:type="dxa" w:w="2160"/>
          </w:tcPr>
          <w:p>
            <w:r>
              <w:rPr>
                <w:sz w:val="19"/>
              </w:rPr>
              <w:t>Bottom-up fatigue cracking</w:t>
            </w:r>
          </w:p>
        </w:tc>
        <w:tc>
          <w:tcPr>
            <w:tcW w:type="dxa" w:w="3168"/>
          </w:tcPr>
          <w:p>
            <w:r>
              <w:rPr>
                <w:sz w:val="19"/>
              </w:rPr>
              <w:t>max of eps_xx, eps_yy at 0.99 h_AC along the transverse profile</w:t>
            </w:r>
          </w:p>
        </w:tc>
        <w:tc>
          <w:tcPr>
            <w:tcW w:type="dxa" w:w="4032"/>
          </w:tcPr>
          <w:p>
            <w:r>
              <w:rPr>
                <w:sz w:val="19"/>
              </w:rPr>
              <w:t>Nf = beta1 k1 C CH eps^(-beta2 k2) E^(-beta3 k3); D = sum N/Nf with wheel wander; sigmoid transfer function to % lane area</w:t>
            </w:r>
          </w:p>
        </w:tc>
      </w:tr>
      <w:tr>
        <w:tc>
          <w:tcPr>
            <w:tcW w:type="dxa" w:w="2160"/>
          </w:tcPr>
          <w:p>
            <w:r>
              <w:rPr>
                <w:sz w:val="19"/>
              </w:rPr>
              <w:t>Top-down fatigue cracking</w:t>
            </w:r>
          </w:p>
        </w:tc>
        <w:tc>
          <w:tcPr>
            <w:tcW w:type="dxa" w:w="3168"/>
          </w:tcPr>
          <w:p>
            <w:r>
              <w:rPr>
                <w:sz w:val="19"/>
              </w:rPr>
              <w:t>maximum principal strain at z &lt;= 0.5 in</w:t>
            </w:r>
          </w:p>
        </w:tc>
        <w:tc>
          <w:tcPr>
            <w:tcW w:type="dxa" w:w="4032"/>
          </w:tcPr>
          <w:p>
            <w:r>
              <w:rPr>
                <w:sz w:val="19"/>
              </w:rPr>
              <w:t>same Nf form (CH = 5); transfer function to ft/mile</w:t>
            </w:r>
          </w:p>
        </w:tc>
      </w:tr>
      <w:tr>
        <w:tc>
          <w:tcPr>
            <w:tcW w:type="dxa" w:w="2160"/>
          </w:tcPr>
          <w:p>
            <w:r>
              <w:rPr>
                <w:sz w:val="19"/>
              </w:rPr>
              <w:t>AC rutting</w:t>
            </w:r>
          </w:p>
        </w:tc>
        <w:tc>
          <w:tcPr>
            <w:tcW w:type="dxa" w:w="3168"/>
          </w:tcPr>
          <w:p>
            <w:r>
              <w:rPr>
                <w:sz w:val="19"/>
              </w:rPr>
              <w:t>vertical strain at each AC sublayer mid-depth</w:t>
            </w:r>
          </w:p>
        </w:tc>
        <w:tc>
          <w:tcPr>
            <w:tcW w:type="dxa" w:w="4032"/>
          </w:tcPr>
          <w:p>
            <w:r>
              <w:rPr>
                <w:sz w:val="19"/>
              </w:rPr>
              <w:t>strain-hardening plastic strain per sublayer with the quintile temperature; rut = sum over sublayers of max eps_p x thickness</w:t>
            </w:r>
          </w:p>
        </w:tc>
      </w:tr>
      <w:tr>
        <w:tc>
          <w:tcPr>
            <w:tcW w:type="dxa" w:w="2160"/>
          </w:tcPr>
          <w:p>
            <w:r>
              <w:rPr>
                <w:sz w:val="19"/>
              </w:rPr>
              <w:t>Base / subgrade rutting</w:t>
            </w:r>
          </w:p>
        </w:tc>
        <w:tc>
          <w:tcPr>
            <w:tcW w:type="dxa" w:w="3168"/>
          </w:tcPr>
          <w:p>
            <w:r>
              <w:rPr>
                <w:sz w:val="19"/>
              </w:rPr>
              <w:t>vertical strain at each base sublayer mid-depth; subgrade top and 6 in below</w:t>
            </w:r>
          </w:p>
        </w:tc>
        <w:tc>
          <w:tcPr>
            <w:tcW w:type="dxa" w:w="4032"/>
          </w:tcPr>
          <w:p>
            <w:r>
              <w:rPr>
                <w:sz w:val="19"/>
              </w:rPr>
              <w:t>Tseng-Lytton with the water content from the layer modulus and the ground water depth; subgrade rut extrapolated to bedrock with the strain ratio of the two subgrade points</w:t>
            </w:r>
          </w:p>
        </w:tc>
      </w:tr>
      <w:tr>
        <w:tc>
          <w:tcPr>
            <w:tcW w:type="dxa" w:w="2160"/>
          </w:tcPr>
          <w:p>
            <w:r>
              <w:rPr>
                <w:sz w:val="19"/>
              </w:rPr>
              <w:t>Thermal cracking</w:t>
            </w:r>
          </w:p>
        </w:tc>
        <w:tc>
          <w:tcPr>
            <w:tcW w:type="dxa" w:w="3168"/>
          </w:tcPr>
          <w:p>
            <w:r>
              <w:rPr>
                <w:sz w:val="19"/>
              </w:rPr>
              <w:t>thermal stresses from the climatic model (preprocessor)</w:t>
            </w:r>
          </w:p>
        </w:tc>
        <w:tc>
          <w:tcPr>
            <w:tcW w:type="dxa" w:w="4032"/>
          </w:tcPr>
          <w:p>
            <w:r>
              <w:rPr>
                <w:sz w:val="19"/>
              </w:rPr>
              <w:t>crack propagation with the indirect tensile strength and the creep-compliance slope</w:t>
            </w:r>
          </w:p>
        </w:tc>
      </w:tr>
      <w:tr>
        <w:tc>
          <w:tcPr>
            <w:tcW w:type="dxa" w:w="2160"/>
          </w:tcPr>
          <w:p>
            <w:r>
              <w:rPr>
                <w:sz w:val="19"/>
              </w:rPr>
              <w:t>IRI</w:t>
            </w:r>
          </w:p>
        </w:tc>
        <w:tc>
          <w:tcPr>
            <w:tcW w:type="dxa" w:w="3168"/>
          </w:tcPr>
          <w:p>
            <w:r>
              <w:rPr>
                <w:sz w:val="19"/>
              </w:rPr>
              <w:t>all of the above + site factor</w:t>
            </w:r>
          </w:p>
        </w:tc>
        <w:tc>
          <w:tcPr>
            <w:tcW w:type="dxa" w:w="4032"/>
          </w:tcPr>
          <w:p>
            <w:r>
              <w:rPr>
                <w:sz w:val="19"/>
              </w:rPr>
              <w:t>IRIo + C1 rut + C2 cracking + C3 thermal + C4 site factor</w:t>
            </w:r>
          </w:p>
        </w:tc>
      </w:tr>
    </w:tbl>
    <w:p/>
    <w:p>
      <w:r>
        <w:fldChar w:fldCharType="begin"/>
      </w:r>
      <w:r>
        <w:instrText xml:space="preserve">REF ref \h</w:instrText>
      </w:r>
      <w:r>
        <w:fldChar w:fldCharType="separate"/>
      </w:r>
      <w:r>
        <w:t>Table6</w:t>
      </w:r>
      <w:r>
        <w:fldChar w:fldCharType="end"/>
      </w:r>
      <w:r>
        <w:t xml:space="preserve"> lists the models. The loop runs over the design months, the five temperature quintiles of each month, the four axle groups and the load bins of each group; the plastic strains are carried from case to case per transverse position.</w:t>
      </w:r>
    </w:p>
    <w:p>
      <w:r>
        <w:t>Monotone plastic strain (rut_monotone = true). In the legacy functions a transverse position whose critical strain is zero in a climate case (vertical strain clipped where it is not compressive, e.g. between the tires in cold months, or a sublayer with a zero depth factor) produces a NaN plastic strain that is reset to zero in the next case, so the accumulated strain at that position restarted every year and the reported rut (the maximum over the positions) showed seasonal dips. nartfem.apd keeps the previous plastic strain wherever the update would decrease it or is not finite. Setting rut_monotone to false restores the legacy behaviour.</w:t>
      </w:r>
    </w:p>
    <w:p>
      <w:pPr>
        <w:pStyle w:val="Heading1"/>
      </w:pPr>
      <w:r>
        <w:t>6. Verification</w:t>
      </w:r>
    </w:p>
    <w:p>
      <w:r>
        <w:t>Four cases were run for 20 years with both engines using the traffic (7500 AADTT), climate (MERRA2 station near the Florida section) and calibration of the legacy example input: an all-linear check case (FL, 3 in AC / 5 in base at 11,751 psi / 4000 psi subgrade), the same section with a stress-dependent base (k = [1650, 0.85, -0.15]) without and with a geogrid at the base bottom, and an East-Lansing-type section (4 in AC / 8 in base / 15,000 psi subgrade, geogrid at mid-base, Michigan climate). The layered-elastic engine uses the linear E_psi of the base and cannot see the geogrid.</w:t>
      </w:r>
    </w:p>
    <w:p>
      <w:pPr>
        <w:pStyle w:val="Caption"/>
      </w:pPr>
      <w:bookmarkStart w:id="7" w:name="Table7"/>
      <w:r>
        <w:t xml:space="preserve">Table </w:t>
      </w:r>
      <w:r>
        <w:fldChar w:fldCharType="begin"/>
      </w:r>
      <w:r>
        <w:instrText xml:space="preserve">SEQ Table \* ARABIC</w:instrText>
      </w:r>
      <w:r>
        <w:fldChar w:fldCharType="separate"/>
      </w:r>
      <w:r>
        <w:t>7</w:t>
      </w:r>
      <w:r>
        <w:fldChar w:fldCharType="end"/>
      </w:r>
      <w:bookmarkEnd w:id="7"/>
      <w:r>
        <w:t>. Ratio nartfem / layered-elastic engine, 20-year runs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3168"/>
            <w:shd w:val="clear" w:fill="D9D9D9"/>
          </w:tcPr>
          <w:p>
            <w:r>
              <w:rPr>
                <w:sz w:val="19"/>
              </w:rPr>
            </w:r>
            <w:r>
              <w:rPr>
                <w:b/>
                <w:sz w:val="19"/>
              </w:rPr>
              <w:t>Response or distress</w:t>
            </w:r>
          </w:p>
        </w:tc>
        <w:tc>
          <w:tcPr>
            <w:tcW w:type="dxa" w:w="1584"/>
            <w:shd w:val="clear" w:fill="D9D9D9"/>
          </w:tcPr>
          <w:p>
            <w:r>
              <w:rPr>
                <w:sz w:val="19"/>
              </w:rPr>
            </w:r>
            <w:r>
              <w:rPr>
                <w:b/>
                <w:sz w:val="19"/>
              </w:rPr>
              <w:t>FL linear check</w:t>
            </w:r>
          </w:p>
        </w:tc>
        <w:tc>
          <w:tcPr>
            <w:tcW w:type="dxa" w:w="1584"/>
            <w:shd w:val="clear" w:fill="D9D9D9"/>
          </w:tcPr>
          <w:p>
            <w:r>
              <w:rPr>
                <w:sz w:val="19"/>
              </w:rPr>
            </w:r>
            <w:r>
              <w:rPr>
                <w:b/>
                <w:sz w:val="19"/>
              </w:rPr>
              <w:t>FL no geogrid</w:t>
            </w:r>
          </w:p>
        </w:tc>
        <w:tc>
          <w:tcPr>
            <w:tcW w:type="dxa" w:w="1440"/>
            <w:shd w:val="clear" w:fill="D9D9D9"/>
          </w:tcPr>
          <w:p>
            <w:r>
              <w:rPr>
                <w:sz w:val="19"/>
              </w:rPr>
            </w:r>
            <w:r>
              <w:rPr>
                <w:b/>
                <w:sz w:val="19"/>
              </w:rPr>
              <w:t>FL geogrid</w:t>
            </w:r>
          </w:p>
        </w:tc>
        <w:tc>
          <w:tcPr>
            <w:tcW w:type="dxa" w:w="1584"/>
            <w:shd w:val="clear" w:fill="D9D9D9"/>
          </w:tcPr>
          <w:p>
            <w:r>
              <w:rPr>
                <w:sz w:val="19"/>
              </w:rPr>
            </w:r>
            <w:r>
              <w:rPr>
                <w:b/>
                <w:sz w:val="19"/>
              </w:rPr>
              <w:t>EL geogrid mid-base</w:t>
            </w:r>
          </w:p>
        </w:tc>
      </w:tr>
      <w:tr>
        <w:tc>
          <w:tcPr>
            <w:tcW w:type="dxa" w:w="3168"/>
          </w:tcPr>
          <w:p>
            <w:r>
              <w:rPr>
                <w:sz w:val="19"/>
              </w:rPr>
              <w:t>AC-bottom tensile strain</w:t>
            </w:r>
          </w:p>
        </w:tc>
        <w:tc>
          <w:tcPr>
            <w:tcW w:type="dxa" w:w="1584"/>
          </w:tcPr>
          <w:p>
            <w:r>
              <w:rPr>
                <w:sz w:val="19"/>
              </w:rPr>
              <w:t>0.99</w:t>
            </w:r>
          </w:p>
        </w:tc>
        <w:tc>
          <w:tcPr>
            <w:tcW w:type="dxa" w:w="1584"/>
          </w:tcPr>
          <w:p>
            <w:r>
              <w:rPr>
                <w:sz w:val="19"/>
              </w:rPr>
              <w:t>0.94</w:t>
            </w:r>
          </w:p>
        </w:tc>
        <w:tc>
          <w:tcPr>
            <w:tcW w:type="dxa" w:w="1440"/>
          </w:tcPr>
          <w:p>
            <w:r>
              <w:rPr>
                <w:sz w:val="19"/>
              </w:rPr>
              <w:t>0.93</w:t>
            </w:r>
          </w:p>
        </w:tc>
        <w:tc>
          <w:tcPr>
            <w:tcW w:type="dxa" w:w="1584"/>
          </w:tcPr>
          <w:p>
            <w:r>
              <w:rPr>
                <w:sz w:val="19"/>
              </w:rPr>
              <w:t>0.89</w:t>
            </w:r>
          </w:p>
        </w:tc>
      </w:tr>
      <w:tr>
        <w:tc>
          <w:tcPr>
            <w:tcW w:type="dxa" w:w="3168"/>
          </w:tcPr>
          <w:p>
            <w:r>
              <w:rPr>
                <w:sz w:val="19"/>
              </w:rPr>
              <w:t>Near-surface principal strain</w:t>
            </w:r>
          </w:p>
        </w:tc>
        <w:tc>
          <w:tcPr>
            <w:tcW w:type="dxa" w:w="1584"/>
          </w:tcPr>
          <w:p>
            <w:r>
              <w:rPr>
                <w:sz w:val="19"/>
              </w:rPr>
              <w:t>0.95</w:t>
            </w:r>
          </w:p>
        </w:tc>
        <w:tc>
          <w:tcPr>
            <w:tcW w:type="dxa" w:w="1584"/>
          </w:tcPr>
          <w:p>
            <w:r>
              <w:rPr>
                <w:sz w:val="19"/>
              </w:rPr>
              <w:t>0.92</w:t>
            </w:r>
          </w:p>
        </w:tc>
        <w:tc>
          <w:tcPr>
            <w:tcW w:type="dxa" w:w="1440"/>
          </w:tcPr>
          <w:p>
            <w:r>
              <w:rPr>
                <w:sz w:val="19"/>
              </w:rPr>
              <w:t>0.92</w:t>
            </w:r>
          </w:p>
        </w:tc>
        <w:tc>
          <w:tcPr>
            <w:tcW w:type="dxa" w:w="1584"/>
          </w:tcPr>
          <w:p>
            <w:r>
              <w:rPr>
                <w:sz w:val="19"/>
              </w:rPr>
              <w:t>0.88</w:t>
            </w:r>
          </w:p>
        </w:tc>
      </w:tr>
      <w:tr>
        <w:tc>
          <w:tcPr>
            <w:tcW w:type="dxa" w:w="3168"/>
          </w:tcPr>
          <w:p>
            <w:r>
              <w:rPr>
                <w:sz w:val="19"/>
              </w:rPr>
              <w:t>Base-top vertical strain</w:t>
            </w:r>
          </w:p>
        </w:tc>
        <w:tc>
          <w:tcPr>
            <w:tcW w:type="dxa" w:w="1584"/>
          </w:tcPr>
          <w:p>
            <w:r>
              <w:rPr>
                <w:sz w:val="19"/>
              </w:rPr>
              <w:t>0.98</w:t>
            </w:r>
          </w:p>
        </w:tc>
        <w:tc>
          <w:tcPr>
            <w:tcW w:type="dxa" w:w="1584"/>
          </w:tcPr>
          <w:p>
            <w:r>
              <w:rPr>
                <w:sz w:val="19"/>
              </w:rPr>
              <w:t>0.80</w:t>
            </w:r>
          </w:p>
        </w:tc>
        <w:tc>
          <w:tcPr>
            <w:tcW w:type="dxa" w:w="1440"/>
          </w:tcPr>
          <w:p>
            <w:r>
              <w:rPr>
                <w:sz w:val="19"/>
              </w:rPr>
              <w:t>0.78</w:t>
            </w:r>
          </w:p>
        </w:tc>
        <w:tc>
          <w:tcPr>
            <w:tcW w:type="dxa" w:w="1584"/>
          </w:tcPr>
          <w:p>
            <w:r>
              <w:rPr>
                <w:sz w:val="19"/>
              </w:rPr>
              <w:t>0.64</w:t>
            </w:r>
          </w:p>
        </w:tc>
      </w:tr>
      <w:tr>
        <w:tc>
          <w:tcPr>
            <w:tcW w:type="dxa" w:w="3168"/>
          </w:tcPr>
          <w:p>
            <w:r>
              <w:rPr>
                <w:sz w:val="19"/>
              </w:rPr>
              <w:t>Subgrade-top vertical strain</w:t>
            </w:r>
          </w:p>
        </w:tc>
        <w:tc>
          <w:tcPr>
            <w:tcW w:type="dxa" w:w="1584"/>
          </w:tcPr>
          <w:p>
            <w:r>
              <w:rPr>
                <w:sz w:val="19"/>
              </w:rPr>
              <w:t>0.95</w:t>
            </w:r>
          </w:p>
        </w:tc>
        <w:tc>
          <w:tcPr>
            <w:tcW w:type="dxa" w:w="1584"/>
          </w:tcPr>
          <w:p>
            <w:r>
              <w:rPr>
                <w:sz w:val="19"/>
              </w:rPr>
              <w:t>0.96</w:t>
            </w:r>
          </w:p>
        </w:tc>
        <w:tc>
          <w:tcPr>
            <w:tcW w:type="dxa" w:w="1440"/>
          </w:tcPr>
          <w:p>
            <w:r>
              <w:rPr>
                <w:sz w:val="19"/>
              </w:rPr>
              <w:t>0.97</w:t>
            </w:r>
          </w:p>
        </w:tc>
        <w:tc>
          <w:tcPr>
            <w:tcW w:type="dxa" w:w="1584"/>
          </w:tcPr>
          <w:p>
            <w:r>
              <w:rPr>
                <w:sz w:val="19"/>
              </w:rPr>
              <w:t>1.10</w:t>
            </w:r>
          </w:p>
        </w:tc>
      </w:tr>
      <w:tr>
        <w:tc>
          <w:tcPr>
            <w:tcW w:type="dxa" w:w="3168"/>
          </w:tcPr>
          <w:p>
            <w:r>
              <w:rPr>
                <w:sz w:val="19"/>
              </w:rPr>
              <w:t>Cumulative bottom-up damage</w:t>
            </w:r>
          </w:p>
        </w:tc>
        <w:tc>
          <w:tcPr>
            <w:tcW w:type="dxa" w:w="1584"/>
          </w:tcPr>
          <w:p>
            <w:r>
              <w:rPr>
                <w:sz w:val="19"/>
              </w:rPr>
              <w:t>0.96</w:t>
            </w:r>
          </w:p>
        </w:tc>
        <w:tc>
          <w:tcPr>
            <w:tcW w:type="dxa" w:w="1584"/>
          </w:tcPr>
          <w:p>
            <w:r>
              <w:rPr>
                <w:sz w:val="19"/>
              </w:rPr>
              <w:t>0.73</w:t>
            </w:r>
          </w:p>
        </w:tc>
        <w:tc>
          <w:tcPr>
            <w:tcW w:type="dxa" w:w="1440"/>
          </w:tcPr>
          <w:p>
            <w:r>
              <w:rPr>
                <w:sz w:val="19"/>
              </w:rPr>
              <w:t>0.68</w:t>
            </w:r>
          </w:p>
        </w:tc>
        <w:tc>
          <w:tcPr>
            <w:tcW w:type="dxa" w:w="1584"/>
          </w:tcPr>
          <w:p>
            <w:r>
              <w:rPr>
                <w:sz w:val="19"/>
              </w:rPr>
              <w:t>0.51</w:t>
            </w:r>
          </w:p>
        </w:tc>
      </w:tr>
      <w:tr>
        <w:tc>
          <w:tcPr>
            <w:tcW w:type="dxa" w:w="3168"/>
          </w:tcPr>
          <w:p>
            <w:r>
              <w:rPr>
                <w:sz w:val="19"/>
              </w:rPr>
              <w:t>Cumulative top-down damage</w:t>
            </w:r>
          </w:p>
        </w:tc>
        <w:tc>
          <w:tcPr>
            <w:tcW w:type="dxa" w:w="1584"/>
          </w:tcPr>
          <w:p>
            <w:r>
              <w:rPr>
                <w:sz w:val="19"/>
              </w:rPr>
              <w:t>0.92</w:t>
            </w:r>
          </w:p>
        </w:tc>
        <w:tc>
          <w:tcPr>
            <w:tcW w:type="dxa" w:w="1584"/>
          </w:tcPr>
          <w:p>
            <w:r>
              <w:rPr>
                <w:sz w:val="19"/>
              </w:rPr>
              <w:t>0.77</w:t>
            </w:r>
          </w:p>
        </w:tc>
        <w:tc>
          <w:tcPr>
            <w:tcW w:type="dxa" w:w="1440"/>
          </w:tcPr>
          <w:p>
            <w:r>
              <w:rPr>
                <w:sz w:val="19"/>
              </w:rPr>
              <w:t>0.76</w:t>
            </w:r>
          </w:p>
        </w:tc>
        <w:tc>
          <w:tcPr>
            <w:tcW w:type="dxa" w:w="1584"/>
          </w:tcPr>
          <w:p>
            <w:r>
              <w:rPr>
                <w:sz w:val="19"/>
              </w:rPr>
              <w:t>0.69</w:t>
            </w:r>
          </w:p>
        </w:tc>
      </w:tr>
      <w:tr>
        <w:tc>
          <w:tcPr>
            <w:tcW w:type="dxa" w:w="3168"/>
          </w:tcPr>
          <w:p>
            <w:r>
              <w:rPr>
                <w:sz w:val="19"/>
              </w:rPr>
              <w:t>Base rut</w:t>
            </w:r>
          </w:p>
        </w:tc>
        <w:tc>
          <w:tcPr>
            <w:tcW w:type="dxa" w:w="1584"/>
          </w:tcPr>
          <w:p>
            <w:r>
              <w:rPr>
                <w:sz w:val="19"/>
              </w:rPr>
              <w:t>0.99</w:t>
            </w:r>
          </w:p>
        </w:tc>
        <w:tc>
          <w:tcPr>
            <w:tcW w:type="dxa" w:w="1584"/>
          </w:tcPr>
          <w:p>
            <w:r>
              <w:rPr>
                <w:sz w:val="19"/>
              </w:rPr>
              <w:t>0.78</w:t>
            </w:r>
          </w:p>
        </w:tc>
        <w:tc>
          <w:tcPr>
            <w:tcW w:type="dxa" w:w="1440"/>
          </w:tcPr>
          <w:p>
            <w:r>
              <w:rPr>
                <w:sz w:val="19"/>
              </w:rPr>
              <w:t>0.75</w:t>
            </w:r>
          </w:p>
        </w:tc>
        <w:tc>
          <w:tcPr>
            <w:tcW w:type="dxa" w:w="1584"/>
          </w:tcPr>
          <w:p>
            <w:r>
              <w:rPr>
                <w:sz w:val="19"/>
              </w:rPr>
              <w:t>0.57</w:t>
            </w:r>
          </w:p>
        </w:tc>
      </w:tr>
      <w:tr>
        <w:tc>
          <w:tcPr>
            <w:tcW w:type="dxa" w:w="3168"/>
          </w:tcPr>
          <w:p>
            <w:r>
              <w:rPr>
                <w:sz w:val="19"/>
              </w:rPr>
              <w:t>Subgrade rut</w:t>
            </w:r>
          </w:p>
        </w:tc>
        <w:tc>
          <w:tcPr>
            <w:tcW w:type="dxa" w:w="1584"/>
          </w:tcPr>
          <w:p>
            <w:r>
              <w:rPr>
                <w:sz w:val="19"/>
              </w:rPr>
              <w:t>0.93</w:t>
            </w:r>
          </w:p>
        </w:tc>
        <w:tc>
          <w:tcPr>
            <w:tcW w:type="dxa" w:w="1584"/>
          </w:tcPr>
          <w:p>
            <w:r>
              <w:rPr>
                <w:sz w:val="19"/>
              </w:rPr>
              <w:t>0.88</w:t>
            </w:r>
          </w:p>
        </w:tc>
        <w:tc>
          <w:tcPr>
            <w:tcW w:type="dxa" w:w="1440"/>
          </w:tcPr>
          <w:p>
            <w:r>
              <w:rPr>
                <w:sz w:val="19"/>
              </w:rPr>
              <w:t>0.87</w:t>
            </w:r>
          </w:p>
        </w:tc>
        <w:tc>
          <w:tcPr>
            <w:tcW w:type="dxa" w:w="1584"/>
          </w:tcPr>
          <w:p>
            <w:r>
              <w:rPr>
                <w:sz w:val="19"/>
              </w:rPr>
              <w:t>0.86</w:t>
            </w:r>
          </w:p>
        </w:tc>
      </w:tr>
      <w:tr>
        <w:tc>
          <w:tcPr>
            <w:tcW w:type="dxa" w:w="3168"/>
          </w:tcPr>
          <w:p>
            <w:r>
              <w:rPr>
                <w:sz w:val="19"/>
              </w:rPr>
              <w:t>IRI at 20 years</w:t>
            </w:r>
          </w:p>
        </w:tc>
        <w:tc>
          <w:tcPr>
            <w:tcW w:type="dxa" w:w="1584"/>
          </w:tcPr>
          <w:p>
            <w:r>
              <w:rPr>
                <w:sz w:val="19"/>
              </w:rPr>
              <w:t>1.00</w:t>
            </w:r>
          </w:p>
        </w:tc>
        <w:tc>
          <w:tcPr>
            <w:tcW w:type="dxa" w:w="1584"/>
          </w:tcPr>
          <w:p>
            <w:r>
              <w:rPr>
                <w:sz w:val="19"/>
              </w:rPr>
              <w:t>0.99</w:t>
            </w:r>
          </w:p>
        </w:tc>
        <w:tc>
          <w:tcPr>
            <w:tcW w:type="dxa" w:w="1440"/>
          </w:tcPr>
          <w:p>
            <w:r>
              <w:rPr>
                <w:sz w:val="19"/>
              </w:rPr>
              <w:t>0.98</w:t>
            </w:r>
          </w:p>
        </w:tc>
        <w:tc>
          <w:tcPr>
            <w:tcW w:type="dxa" w:w="1584"/>
          </w:tcPr>
          <w:p>
            <w:r>
              <w:rPr>
                <w:sz w:val="19"/>
              </w:rPr>
              <w:t>0.90</w:t>
            </w:r>
          </w:p>
        </w:tc>
      </w:tr>
    </w:tbl>
    <w:p/>
    <w:p>
      <w:r>
        <w:fldChar w:fldCharType="begin"/>
      </w:r>
      <w:r>
        <w:instrText xml:space="preserve">REF ref \h</w:instrText>
      </w:r>
      <w:r>
        <w:fldChar w:fldCharType="separate"/>
      </w:r>
      <w:r>
        <w:t>Table7</w:t>
      </w:r>
      <w:r>
        <w:fldChar w:fldCharType="end"/>
      </w:r>
      <w:r>
        <w:t xml:space="preserve"> gives the ratios. For the all-linear case the two engines agree within 1-5 % on the strains (finite FE domain with a fixed bottom, exact in-element evaluation versus radial interpolation); the stress-dependent base solves to a mean modulus of 15-19 ksi, stiffer than the linear value, which lowers the strains and the damage (fatigue damage scales with the strain to the power 3.9, subgrade rutting with the power 1.35). The geogrid at the base bottom of the thin Florida section changes the AC-bottom strain by -1.3 %, the base-top strain by -2 %, the bottom-up damage by -6 %, the base rut by -5 % and the subgrade rut by -1.6 %: the base bottom is in horizontal tension under the load, so the tension clip removes most of the confinement there. These runs were made before the monotone plastic-strain guard; the rutting values with the guard are somewhat higher.</w:t>
      </w:r>
    </w:p>
    <w:p>
      <w:pPr>
        <w:jc w:val="center"/>
      </w:pPr>
      <w:r>
        <w:drawing>
          <wp:inline xmlns:a="http://schemas.openxmlformats.org/drawingml/2006/main" xmlns:pic="http://schemas.openxmlformats.org/drawingml/2006/picture">
            <wp:extent cx="5943600" cy="3184071"/>
            <wp:docPr id="1" name="Picture 1"/>
            <wp:cNvGraphicFramePr>
              <a:graphicFrameLocks noChangeAspect="1"/>
            </wp:cNvGraphicFramePr>
            <a:graphic>
              <a:graphicData uri="http://schemas.openxmlformats.org/drawingml/2006/picture">
                <pic:pic>
                  <pic:nvPicPr>
                    <pic:cNvPr id="0" name="comparison.png"/>
                    <pic:cNvPicPr/>
                  </pic:nvPicPr>
                  <pic:blipFill>
                    <a:blip r:embed="rId11"/>
                    <a:stretch>
                      <a:fillRect/>
                    </a:stretch>
                  </pic:blipFill>
                  <pic:spPr>
                    <a:xfrm>
                      <a:off x="0" y="0"/>
                      <a:ext cx="5943600" cy="3184071"/>
                    </a:xfrm>
                    <a:prstGeom prst="rect"/>
                  </pic:spPr>
                </pic:pic>
              </a:graphicData>
            </a:graphic>
          </wp:inline>
        </w:drawing>
      </w:r>
    </w:p>
    <w:p>
      <w:pPr>
        <w:pStyle w:val="Caption"/>
      </w:pPr>
      <w:bookmarkStart w:id="8" w:name="Figure8"/>
      <w:r>
        <w:t xml:space="preserve">Figure </w:t>
      </w:r>
      <w:r>
        <w:fldChar w:fldCharType="begin"/>
      </w:r>
      <w:r>
        <w:instrText xml:space="preserve">SEQ Figure \* ARABIC</w:instrText>
      </w:r>
      <w:r>
        <w:fldChar w:fldCharType="separate"/>
      </w:r>
      <w:r>
        <w:t>1</w:t>
      </w:r>
      <w:r>
        <w:fldChar w:fldCharType="end"/>
      </w:r>
      <w:bookmarkEnd w:id="8"/>
      <w:r>
        <w:t>. Monthly distresses of the four cases with the layered-elastic (dashed) and the nartfem (solid) engine, 20-year design life</w:t>
      </w:r>
    </w:p>
    <w:p>
      <w:r>
        <w:t xml:space="preserve">The monthly distress curves are shown in </w:t>
      </w:r>
      <w:r>
        <w:fldChar w:fldCharType="begin"/>
      </w:r>
      <w:r>
        <w:instrText xml:space="preserve">REF ref \h</w:instrText>
      </w:r>
      <w:r>
        <w:fldChar w:fldCharType="separate"/>
      </w:r>
      <w:r>
        <w:t>Figure8</w:t>
      </w:r>
      <w:r>
        <w:fldChar w:fldCharType="end"/>
      </w:r>
      <w:r>
        <w:t>. The Florida section fails within about three years under this traffic, so the cracking transfer functions saturate; the cumulative damage is the meaningful comparison for fatigue.</w:t>
      </w:r>
    </w:p>
    <w:p>
      <w:pPr>
        <w:pStyle w:val="Heading1"/>
      </w:pPr>
      <w:r>
        <w:t>7. Running the code</w:t>
      </w:r>
    </w:p>
    <w:p>
      <w:r>
        <w:t>All scripts run from PyCharm with the CONFIG block at their top; command-line arguments are optional. Paths in CONFIG are repository-relative or absolute.</w:t>
      </w:r>
    </w:p>
    <w:p>
      <w:pPr>
        <w:pStyle w:val="Caption"/>
      </w:pPr>
      <w:bookmarkStart w:id="9" w:name="Table9"/>
      <w:r>
        <w:t xml:space="preserve">Table </w:t>
      </w:r>
      <w:r>
        <w:fldChar w:fldCharType="begin"/>
      </w:r>
      <w:r>
        <w:instrText xml:space="preserve">SEQ Table \* ARABIC</w:instrText>
      </w:r>
      <w:r>
        <w:fldChar w:fldCharType="separate"/>
      </w:r>
      <w:r>
        <w:t>8</w:t>
      </w:r>
      <w:r>
        <w:fldChar w:fldCharType="end"/>
      </w:r>
      <w:bookmarkEnd w:id="9"/>
      <w:r>
        <w:t>. Entry 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592"/>
            <w:shd w:val="clear" w:fill="D9D9D9"/>
          </w:tcPr>
          <w:p>
            <w:r>
              <w:rPr>
                <w:sz w:val="19"/>
              </w:rPr>
            </w:r>
            <w:r>
              <w:rPr>
                <w:b/>
                <w:sz w:val="19"/>
              </w:rPr>
              <w:t>Script</w:t>
            </w:r>
          </w:p>
        </w:tc>
        <w:tc>
          <w:tcPr>
            <w:tcW w:type="dxa" w:w="4320"/>
            <w:shd w:val="clear" w:fill="D9D9D9"/>
          </w:tcPr>
          <w:p>
            <w:r>
              <w:rPr>
                <w:sz w:val="19"/>
              </w:rPr>
            </w:r>
            <w:r>
              <w:rPr>
                <w:b/>
                <w:sz w:val="19"/>
              </w:rPr>
              <w:t>Purpose</w:t>
            </w:r>
          </w:p>
        </w:tc>
        <w:tc>
          <w:tcPr>
            <w:tcW w:type="dxa" w:w="2448"/>
            <w:shd w:val="clear" w:fill="D9D9D9"/>
          </w:tcPr>
          <w:p>
            <w:r>
              <w:rPr>
                <w:sz w:val="19"/>
              </w:rPr>
            </w:r>
            <w:r>
              <w:rPr>
                <w:b/>
                <w:sz w:val="19"/>
              </w:rPr>
              <w:t>Main CONFIG entries</w:t>
            </w:r>
          </w:p>
        </w:tc>
      </w:tr>
      <w:tr>
        <w:tc>
          <w:tcPr>
            <w:tcW w:type="dxa" w:w="2592"/>
          </w:tcPr>
          <w:p>
            <w:r>
              <w:rPr>
                <w:sz w:val="19"/>
              </w:rPr>
              <w:t>nartfem/apd/run.py</w:t>
            </w:r>
          </w:p>
        </w:tc>
        <w:tc>
          <w:tcPr>
            <w:tcW w:type="dxa" w:w="4320"/>
          </w:tcPr>
          <w:p>
            <w:r>
              <w:rPr>
                <w:sz w:val="19"/>
              </w:rPr>
              <w:t>one input, one engine; writes &lt;name&gt;-&lt;engine&gt;-output.json (monthly distresses, at-reliability values) and -cases.json (critical strains and layer moduli per climate case)</w:t>
            </w:r>
          </w:p>
        </w:tc>
        <w:tc>
          <w:tcPr>
            <w:tcW w:type="dxa" w:w="2448"/>
          </w:tcPr>
          <w:p>
            <w:r>
              <w:rPr>
                <w:sz w:val="19"/>
              </w:rPr>
              <w:t>INPUT, ENGINE, YEARS, OUT_DIR, WORKERS, LOAD_SCALING</w:t>
            </w:r>
          </w:p>
        </w:tc>
      </w:tr>
      <w:tr>
        <w:tc>
          <w:tcPr>
            <w:tcW w:type="dxa" w:w="2592"/>
          </w:tcPr>
          <w:p>
            <w:r>
              <w:rPr>
                <w:sz w:val="19"/>
              </w:rPr>
              <w:t>nartfem/apd/convert_legacy.py</w:t>
            </w:r>
          </w:p>
        </w:tc>
        <w:tc>
          <w:tcPr>
            <w:tcW w:type="dxa" w:w="4320"/>
          </w:tcPr>
          <w:p>
            <w:r>
              <w:rPr>
                <w:sz w:val="19"/>
              </w:rPr>
              <w:t>legacy UPDAPSAC JSON -&gt; nartfem-apd-1</w:t>
            </w:r>
          </w:p>
        </w:tc>
        <w:tc>
          <w:tcPr>
            <w:tcW w:type="dxa" w:w="2448"/>
          </w:tcPr>
          <w:p>
            <w:r>
              <w:rPr>
                <w:sz w:val="19"/>
              </w:rPr>
              <w:t>IN_FILES, OUT_DIR, GEOGRID_FLAG</w:t>
            </w:r>
          </w:p>
        </w:tc>
      </w:tr>
      <w:tr>
        <w:tc>
          <w:tcPr>
            <w:tcW w:type="dxa" w:w="2592"/>
          </w:tcPr>
          <w:p>
            <w:r>
              <w:rPr>
                <w:sz w:val="19"/>
              </w:rPr>
              <w:t>scripts/apd_batch.py</w:t>
            </w:r>
          </w:p>
        </w:tc>
        <w:tc>
          <w:tcPr>
            <w:tcW w:type="dxa" w:w="4320"/>
          </w:tcPr>
          <w:p>
            <w:r>
              <w:rPr>
                <w:sz w:val="19"/>
              </w:rPr>
              <w:t>every input of a folder, several runs in parallel, batch_summary.csv</w:t>
            </w:r>
          </w:p>
        </w:tc>
        <w:tc>
          <w:tcPr>
            <w:tcW w:type="dxa" w:w="2448"/>
          </w:tcPr>
          <w:p>
            <w:r>
              <w:rPr>
                <w:sz w:val="19"/>
              </w:rPr>
              <w:t>INPUT_DIR, PATTERN, ENGINES, YEARS, OUT_DIR, JOBS</w:t>
            </w:r>
          </w:p>
        </w:tc>
      </w:tr>
      <w:tr>
        <w:tc>
          <w:tcPr>
            <w:tcW w:type="dxa" w:w="2592"/>
          </w:tcPr>
          <w:p>
            <w:r>
              <w:rPr>
                <w:sz w:val="19"/>
              </w:rPr>
              <w:t>scripts/prep_apd_inputs_v1.py</w:t>
            </w:r>
          </w:p>
        </w:tc>
        <w:tc>
          <w:tcPr>
            <w:tcW w:type="dxa" w:w="4320"/>
          </w:tcPr>
          <w:p>
            <w:r>
              <w:rPr>
                <w:sz w:val="19"/>
              </w:rPr>
              <w:t>inputs for all combinations of AC and base thickness from a template, constant field overrides and extra sweep fields (dotted paths)</w:t>
            </w:r>
          </w:p>
        </w:tc>
        <w:tc>
          <w:tcPr>
            <w:tcW w:type="dxa" w:w="2448"/>
          </w:tcPr>
          <w:p>
            <w:r>
              <w:rPr>
                <w:sz w:val="19"/>
              </w:rPr>
              <w:t>TEMPLATE, AC_THICKNESS_IN, BASE_THICKNESS_IN, SET_FIELDS, SWEEP_FIELDS, OUT_DIR</w:t>
            </w:r>
          </w:p>
        </w:tc>
      </w:tr>
      <w:tr>
        <w:tc>
          <w:tcPr>
            <w:tcW w:type="dxa" w:w="2592"/>
          </w:tcPr>
          <w:p>
            <w:r>
              <w:rPr>
                <w:sz w:val="19"/>
              </w:rPr>
              <w:t>scripts/apd_plot_output.py</w:t>
            </w:r>
          </w:p>
        </w:tc>
        <w:tc>
          <w:tcPr>
            <w:tcW w:type="dxa" w:w="4320"/>
          </w:tcPr>
          <w:p>
            <w:r>
              <w:rPr>
                <w:sz w:val="19"/>
              </w:rPr>
              <w:t>2 x 3 figure of one output with thresholds and at-reliability curves</w:t>
            </w:r>
          </w:p>
        </w:tc>
        <w:tc>
          <w:tcPr>
            <w:tcW w:type="dxa" w:w="2448"/>
          </w:tcPr>
          <w:p>
            <w:r>
              <w:rPr>
                <w:sz w:val="19"/>
              </w:rPr>
              <w:t>OUTPUT_JSON, OUT_PNG</w:t>
            </w:r>
          </w:p>
        </w:tc>
      </w:tr>
      <w:tr>
        <w:tc>
          <w:tcPr>
            <w:tcW w:type="dxa" w:w="2592"/>
          </w:tcPr>
          <w:p>
            <w:r>
              <w:rPr>
                <w:sz w:val="19"/>
              </w:rPr>
              <w:t>scripts/apd_plot_compare.py</w:t>
            </w:r>
          </w:p>
        </w:tc>
        <w:tc>
          <w:tcPr>
            <w:tcW w:type="dxa" w:w="4320"/>
          </w:tcPr>
          <w:p>
            <w:r>
              <w:rPr>
                <w:sz w:val="19"/>
              </w:rPr>
              <w:t>one figure per distress for several outputs, end-of-life bar charts (mean and at reliability), end_of_life.csv</w:t>
            </w:r>
          </w:p>
        </w:tc>
        <w:tc>
          <w:tcPr>
            <w:tcW w:type="dxa" w:w="2448"/>
          </w:tcPr>
          <w:p>
            <w:r>
              <w:rPr>
                <w:sz w:val="19"/>
              </w:rPr>
              <w:t>FILES, LABELS, OUT_DIR, AT_RELIABILITY</w:t>
            </w:r>
          </w:p>
        </w:tc>
      </w:tr>
      <w:tr>
        <w:tc>
          <w:tcPr>
            <w:tcW w:type="dxa" w:w="2592"/>
          </w:tcPr>
          <w:p>
            <w:r>
              <w:rPr>
                <w:sz w:val="19"/>
              </w:rPr>
              <w:t>scripts/apd_compare_engines.py</w:t>
            </w:r>
          </w:p>
        </w:tc>
        <w:tc>
          <w:tcPr>
            <w:tcW w:type="dxa" w:w="4320"/>
          </w:tcPr>
          <w:p>
            <w:r>
              <w:rPr>
                <w:sz w:val="19"/>
              </w:rPr>
              <w:t>tables and figure comparing the two engines (section 6)</w:t>
            </w:r>
          </w:p>
        </w:tc>
        <w:tc>
          <w:tcPr>
            <w:tcW w:type="dxa" w:w="2448"/>
          </w:tcPr>
          <w:p>
            <w:r>
              <w:rPr>
                <w:sz w:val="19"/>
              </w:rPr>
              <w:t>RUN_DIR, CASES, ENGINES</w:t>
            </w:r>
          </w:p>
        </w:tc>
      </w:tr>
      <w:tr>
        <w:tc>
          <w:tcPr>
            <w:tcW w:type="dxa" w:w="2592"/>
          </w:tcPr>
          <w:p>
            <w:r>
              <w:rPr>
                <w:sz w:val="19"/>
              </w:rPr>
              <w:t>scripts/apd_make_examples.py</w:t>
            </w:r>
          </w:p>
        </w:tc>
        <w:tc>
          <w:tcPr>
            <w:tcW w:type="dxa" w:w="4320"/>
          </w:tcPr>
          <w:p>
            <w:r>
              <w:rPr>
                <w:sz w:val="19"/>
              </w:rPr>
              <w:t>nartfem-apd-1 inputs for the nartfem example structures</w:t>
            </w:r>
          </w:p>
        </w:tc>
        <w:tc>
          <w:tcPr>
            <w:tcW w:type="dxa" w:w="2448"/>
          </w:tcPr>
          <w:p>
            <w:r>
              <w:rPr>
                <w:sz w:val="19"/>
              </w:rPr>
              <w:t>LEGACY, CASES</w:t>
            </w:r>
          </w:p>
        </w:tc>
      </w:tr>
    </w:tbl>
    <w:p/>
    <w:p>
      <w:r>
        <w:fldChar w:fldCharType="begin"/>
      </w:r>
      <w:r>
        <w:instrText xml:space="preserve">REF ref \h</w:instrText>
      </w:r>
      <w:r>
        <w:fldChar w:fldCharType="separate"/>
      </w:r>
      <w:r>
        <w:t>Table9</w:t>
      </w:r>
      <w:r>
        <w:fldChar w:fldCharType="end"/>
      </w:r>
      <w:r>
        <w:t xml:space="preserve"> lists the entry points. Typical commands:</w:t>
      </w:r>
    </w:p>
    <w:p>
      <w:r>
        <w:rPr>
          <w:rFonts w:ascii="Consolas" w:hAnsi="Consolas"/>
          <w:sz w:val="19"/>
        </w:rPr>
        <w:t>python nartfem/apd/run.py</w:t>
      </w:r>
    </w:p>
    <w:p>
      <w:r>
        <w:rPr>
          <w:rFonts w:ascii="Consolas" w:hAnsi="Consolas"/>
          <w:sz w:val="19"/>
        </w:rPr>
        <w:t>python -m nartfem.apd.run examples/apd/FL_AC3_B5_SG4k_GG.apd.json --engine nartfem --years 20 --workers 4</w:t>
      </w:r>
    </w:p>
    <w:p>
      <w:r>
        <w:rPr>
          <w:rFonts w:ascii="Consolas" w:hAnsi="Consolas"/>
          <w:sz w:val="19"/>
        </w:rPr>
        <w:t>python scripts/prep_apd_inputs_v1.py   then   python scripts/apd_batch.py</w:t>
      </w:r>
    </w:p>
    <w:p>
      <w:r>
        <w:rPr>
          <w:rFonts w:ascii="Consolas" w:hAnsi="Consolas"/>
          <w:sz w:val="19"/>
        </w:rPr>
        <w:t>python scripts/apd_plot_compare.py</w:t>
      </w:r>
    </w:p>
    <w:p>
      <w:r>
        <w:t>Requirements: numpy, scipy, numba, pandas (legacy preprocessor), matplotlib and the nartfem package; with numpy 2.3 or newer the two one-line compatibility patches in _UPDAPSAC_MinersLaw/f_calc_freqMatrix.py and f_lin_interp1.py are required (a one-element array assigned to a scalar).</w:t>
      </w:r>
    </w:p>
    <w:p>
      <w:pPr>
        <w:pStyle w:val="Heading1"/>
      </w:pPr>
      <w:r>
        <w:t>8. Known limitations and open items</w:t>
      </w:r>
    </w:p>
    <w:p>
      <w:pPr>
        <w:pStyle w:val="ListBullet"/>
      </w:pPr>
      <w:r>
        <w:t>Only AC over granular base structures run through nartfem.apd; structures with a chemically stabilized or an existing AC layer still use the legacy UPDAPSACPY path.</w:t>
      </w:r>
    </w:p>
    <w:p>
      <w:pPr>
        <w:pStyle w:val="ListBullet"/>
      </w:pPr>
      <w:r>
        <w:t>The modulus field of the nartfem engine is axisymmetric (an azimuthal average of the superposed stresses); the base is softer between dual tires than this average can represent (3D engine: AC-bottom strains within 2-5 %, base and subgrade strains within 5-15 %).</w:t>
      </w:r>
    </w:p>
    <w:p>
      <w:pPr>
        <w:pStyle w:val="ListBullet"/>
      </w:pPr>
      <w:r>
        <w:t>The legacy preprocessor assigns a dummy modulus of zero to an UNBOUNDNONLIN layer in the loading-frequency step; the converter maps such layers to the BASE role, which changes the pass correction at base and subgrade depth slightly (subgrade rut -3 % in the Florida example).</w:t>
      </w:r>
    </w:p>
    <w:p>
      <w:pPr>
        <w:pStyle w:val="ListBullet"/>
      </w:pPr>
      <w:r>
        <w:t>The transfer functions are the legacy calibration; with the nartfem strains they will need recalibration. The documented ratios of section 6 are the starting point.</w:t>
      </w:r>
    </w:p>
    <w:p>
      <w:pPr>
        <w:pStyle w:val="ListBullet"/>
      </w:pPr>
      <w:r>
        <w:t>The top-down principal strain depends on the shear convention (section 4.2); the default keeps the legacy convention for comparability.</w:t>
      </w:r>
    </w:p>
    <w:p>
      <w:pPr>
        <w:pStyle w:val="ListBullet"/>
      </w:pPr>
      <w:r>
        <w:t>The legacy |E*| master-curve fit reuses one dictionary for all AC layers (fine for one AC layer).</w:t>
      </w:r>
    </w:p>
    <w:p>
      <w:pPr>
        <w:pStyle w:val="Heading1"/>
      </w:pPr>
      <w:r>
        <w:t>References</w:t>
      </w:r>
    </w:p>
    <w:p>
      <w:r>
        <w:t>nartfem README (repository root): engine, correspondence with MatFEA, verification on the identical mesh.</w:t>
      </w:r>
    </w:p>
    <w:p>
      <w:r>
        <w:t>Geogrid Reinforcement in the MatFEA engine (documentation folder, October 2026): theory and implementation of the NCHRP 1-50 geogrid confinement model.</w:t>
      </w:r>
    </w:p>
    <w:p>
      <w:r>
        <w:t>NCHRP 1-37A, Guide for Mechanistic-Empirical Design of New and Rehabilitated Pavement Structures, 2004.</w:t>
      </w:r>
    </w:p>
    <w:p>
      <w:r>
        <w:t>NCHRP Report 1-50, Quantifying the Influence of Geosynthetics on Pavement Performance, 2017.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04040"/>
        <w:sz w:val="18"/>
      </w:rPr>
      <w:t>nartfem-apd: asphalt pavement distress prediction with the nartfem FE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Bdr>
        <w:bottom w:val="single" w:sz="12" w:space="1" w:color="FFCD00"/>
      </w:pBdr>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